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taisx="http://lrs.lt/TAIS/DocPartXmlMark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body>
    <w:p>
      <w:pPr>
        <w:jc w:val="both"/>
        <w:rPr>
          <w:rFonts w:ascii="Times New Roman" w:hAnsi="Times New Roman"/>
        </w:rPr>
      </w:pPr>
      <w:r>
        <w:rPr>
          <w:rFonts w:ascii="Times New Roman" w:hAnsi="Times New Roman"/>
          <w:b/>
          <w:i/>
        </w:rPr>
        <w:t>Suvestinė redakcija nuo 2026-08-28</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Įsakymas paskelbtas: Žin. 2013, Nr. </w:t>
      </w:r>
      <w:fldSimple w:instr="HYPERLINK https://www.e-tar.lt/portal/legalAct.html?documentId=TAR.6868F3E8A436">
        <w:r w:rsidRPr="00532B9F">
          <w:rPr>
            <w:rFonts w:ascii="Times New Roman" w:eastAsia="MS Mincho" w:hAnsi="Times New Roman"/>
            <w:sz w:val="20"/>
            <w:i/>
            <w:iCs/>
            <w:color w:val="0000FF" w:themeColor="hyperlink"/>
            <w:u w:val="single"/>
          </w:rPr>
          <w:t>98-4887</w:t>
        </w:r>
      </w:fldSimple>
      <w:r>
        <w:rPr>
          <w:rFonts w:ascii="Times New Roman" w:eastAsia="MS Mincho" w:hAnsi="Times New Roman"/>
          <w:sz w:val="20"/>
          <w:i/>
          <w:iCs/>
        </w:rPr>
        <w:t>, i. k. 1132070ISAK000V-856</w:t>
      </w:r>
    </w:p>
    <w:p>
      <w:pPr>
        <w:jc w:val="both"/>
        <w:rPr>
          <w:rFonts w:ascii="Times New Roman" w:hAnsi="Times New Roman"/>
          <w:sz w:val="20"/>
        </w:rPr>
      </w:pPr>
    </w:p>
    <w:p>
      <w:pPr>
        <w:rPr>
          <w:rFonts w:ascii="Times New Roman" w:hAnsi="Times New Roman"/>
          <w:sz w:val="20"/>
          <w:b/>
          <w:i/>
        </w:rPr>
      </w:pPr>
      <w:r>
        <w:rPr>
          <w:rFonts w:ascii="Times New Roman" w:hAnsi="Times New Roman"/>
          <w:sz w:val="20"/>
          <w:b/>
          <w:i/>
        </w:rPr>
        <w:t>Nauja redakcija nuo 2021-02-02:</w:t>
      </w:r>
    </w:p>
    <w:p>
      <w:pPr>
        <w:rPr>
          <w:rFonts w:ascii="Times New Roman" w:hAnsi="Times New Roman"/>
          <w:sz w:val="20"/>
          <w:i/>
        </w:rPr>
      </w:pPr>
      <w:r>
        <w:rPr>
          <w:rFonts w:ascii="Times New Roman" w:hAnsi="Times New Roman"/>
          <w:sz w:val="20"/>
          <w:i/>
        </w:rPr>
        <w:t xml:space="preserve">Nr. </w:t>
      </w:r>
      <w:fldSimple w:instr="HYPERLINK https://www.e-tar.lt/portal/legalAct.html?documentId=7c4752f0645c11eb9dc7b575f08e8bea">
        <w:r w:rsidRPr="00532B9F">
          <w:rPr>
            <w:rFonts w:ascii="Times New Roman" w:eastAsia="MS Mincho" w:hAnsi="Times New Roman"/>
            <w:sz w:val="20"/>
            <w:i/>
            <w:iCs/>
            <w:color w:val="0000FF" w:themeColor="hyperlink"/>
            <w:u w:val="single"/>
          </w:rPr>
          <w:t>V-170</w:t>
        </w:r>
      </w:fldSimple>
      <w:r>
        <w:rPr>
          <w:rFonts w:ascii="Times New Roman" w:eastAsia="MS Mincho" w:hAnsi="Times New Roman"/>
          <w:sz w:val="20"/>
          <w:i/>
          <w:iCs/>
        </w:rPr>
        <w:t>,
2021-02-01,
paskelbta TAR 2021-02-01, i. k. 2021-01792                </w:t>
      </w:r>
    </w:p>
    <w:p>
      <w:pPr>
        <w:rPr>
          <w:rFonts w:ascii="Times New Roman" w:hAnsi="Times New Roman"/>
          <w:sz w:val="22"/>
        </w:rPr>
      </w:pPr>
    </w:p>
    <w:p>
      <w:pPr>
        <w:suppressAutoHyphens/>
        <w:jc w:val="center"/>
        <w:textAlignment w:val="baseline"/>
        <w:rPr>
          <w:b/>
          <w:bCs/>
          <w:szCs w:val="24"/>
        </w:rPr>
      </w:pPr>
      <w:r>
        <w:rPr>
          <w:b/>
          <w:bCs/>
          <w:szCs w:val="24"/>
        </w:rPr>
        <w:t>LIETUVOS RESPUBLIKOS ŠVIETIMO, MOKSLO IR SPORTO</w:t>
      </w:r>
    </w:p>
    <w:p>
      <w:pPr>
        <w:suppressAutoHyphens/>
        <w:jc w:val="center"/>
        <w:textAlignment w:val="baseline"/>
        <w:rPr>
          <w:b/>
          <w:bCs/>
          <w:szCs w:val="24"/>
        </w:rPr>
      </w:pPr>
      <w:r>
        <w:rPr>
          <w:b/>
          <w:bCs/>
          <w:szCs w:val="24"/>
        </w:rPr>
        <w:t>MINISTRAS</w:t>
      </w:r>
    </w:p>
    <w:p>
      <w:pPr>
        <w:suppressAutoHyphens/>
        <w:jc w:val="center"/>
        <w:textAlignment w:val="baseline"/>
        <w:rPr>
          <w:szCs w:val="24"/>
        </w:rPr>
      </w:pPr>
    </w:p>
    <w:p>
      <w:pPr>
        <w:suppressAutoHyphens/>
        <w:jc w:val="center"/>
        <w:textAlignment w:val="baseline"/>
        <w:rPr>
          <w:b/>
          <w:bCs/>
          <w:szCs w:val="24"/>
        </w:rPr>
      </w:pPr>
      <w:r>
        <w:rPr>
          <w:b/>
          <w:bCs/>
          <w:szCs w:val="24"/>
        </w:rPr>
        <w:t>ĮSAKYMAS</w:t>
      </w:r>
    </w:p>
    <w:p>
      <w:pPr>
        <w:suppressAutoHyphens/>
        <w:jc w:val="center"/>
        <w:textAlignment w:val="baseline"/>
      </w:pPr>
      <w:r>
        <w:rPr>
          <w:b/>
          <w:color w:val="000000"/>
          <w:szCs w:val="24"/>
        </w:rPr>
        <w:t>DĖL KLASIŲ PASKIRČIŲ KLASIFIKATORIAUS PATVIRTINIMO</w:t>
      </w:r>
    </w:p>
    <w:p>
      <w:pPr>
        <w:suppressAutoHyphens/>
        <w:jc w:val="center"/>
        <w:textAlignment w:val="baseline"/>
        <w:rPr>
          <w:szCs w:val="24"/>
        </w:rPr>
      </w:pPr>
    </w:p>
    <w:p>
      <w:pPr>
        <w:suppressAutoHyphens/>
        <w:jc w:val="center"/>
        <w:textAlignment w:val="baseline"/>
        <w:rPr>
          <w:color w:val="000000"/>
          <w:szCs w:val="24"/>
          <w:lang w:eastAsia="lt-LT"/>
        </w:rPr>
      </w:pPr>
      <w:r>
        <w:rPr>
          <w:color w:val="000000"/>
          <w:szCs w:val="24"/>
          <w:lang w:eastAsia="lt-LT"/>
        </w:rPr>
        <w:t>2013 m. rugsėjo 11 d. Nr. V-856</w:t>
      </w:r>
    </w:p>
    <w:p>
      <w:pPr>
        <w:suppressAutoHyphens/>
        <w:jc w:val="center"/>
        <w:textAlignment w:val="baseline"/>
        <w:rPr>
          <w:color w:val="000000"/>
          <w:szCs w:val="24"/>
          <w:lang w:eastAsia="lt-LT"/>
        </w:rPr>
      </w:pPr>
      <w:r>
        <w:rPr>
          <w:color w:val="000000"/>
          <w:szCs w:val="24"/>
          <w:lang w:eastAsia="lt-LT"/>
        </w:rPr>
        <w:t>Vilnius</w:t>
      </w:r>
    </w:p>
    <w:p>
      <w:pPr>
        <w:suppressAutoHyphens/>
        <w:jc w:val="center"/>
        <w:textAlignment w:val="baseline"/>
        <w:rPr>
          <w:szCs w:val="24"/>
        </w:rPr>
      </w:pPr>
    </w:p>
    <w:p>
      <w:pPr>
        <w:suppressAutoHyphens/>
        <w:jc w:val="center"/>
        <w:textAlignment w:val="baseline"/>
        <w:rPr>
          <w:szCs w:val="24"/>
        </w:rPr>
      </w:pPr>
    </w:p>
    <w:p>
      <w:pPr>
        <w:suppressAutoHyphens/>
        <w:ind w:firstLine="709"/>
        <w:jc w:val="both"/>
        <w:textAlignment w:val="center"/>
        <w:rPr>
          <w:szCs w:val="24"/>
          <w:lang w:eastAsia="lt-LT"/>
        </w:rPr>
      </w:pPr>
      <w:r>
        <w:rPr>
          <w:color w:val="000000"/>
          <w:szCs w:val="24"/>
        </w:rPr>
        <w:t>Vadovaudamasi Lietuvos Respublikos valstybės informacinių išteklių valdymo įstatymo 6 straipsnio 7 dalimi ir Švietimo ir mokslo srities registrams ir informacinėms sistemoms būdingų klasifikatorių kūrimo, tvarkymo ir naudojimo taisyklėmis, patvirtintomis Lietuvos Respublikos švietimo ir mokslo ministro 2014 m. gruodžio 22 d. įsakymu Nr. V-1233 „Dėl Švietimo ir mokslo srities registrams ir informacinėms sistemoms būdingų klasifikatorių kūrimo, tvarkymo ir naudojimo taisyklių patvirtinimo,</w:t>
      </w:r>
      <w:r>
        <w:t xml:space="preserve"> </w:t>
      </w:r>
    </w:p>
    <w:p>
      <w:pPr>
        <w:pStyle w:val="PlainText"/>
        <w:rPr>
          <w:rFonts w:ascii="Times New Roman" w:eastAsia="MS Mincho" w:hAnsi="Times New Roman"/>
          <w:sz w:val="20"/>
          <w:i/>
          <w:iCs/>
        </w:rPr>
      </w:pPr>
      <w:r>
        <w:rPr>
          <w:rFonts w:ascii="Times New Roman" w:eastAsia="MS Mincho" w:hAnsi="Times New Roman"/>
          <w:sz w:val="20"/>
          <w:i/>
          <w:iCs/>
        </w:rPr>
        <w:t>Preambulės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8d4be6759311efabdbb4a1fc8b0b63">
        <w:r w:rsidRPr="00532B9F">
          <w:rPr>
            <w:rFonts w:ascii="Times New Roman" w:eastAsia="MS Mincho" w:hAnsi="Times New Roman"/>
            <w:sz w:val="20"/>
            <w:i/>
            <w:iCs/>
            <w:color w:val="0000FF" w:themeColor="hyperlink"/>
            <w:u w:val="single"/>
          </w:rPr>
          <w:t>V-1029</w:t>
        </w:r>
      </w:fldSimple>
      <w:r>
        <w:rPr>
          <w:rFonts w:ascii="Times New Roman" w:eastAsia="MS Mincho" w:hAnsi="Times New Roman"/>
          <w:sz w:val="20"/>
          <w:i/>
          <w:iCs/>
        </w:rPr>
        <w:t>,
2024-09-18,
paskelbta TAR 2024-09-18, i. k. 2024-16341            </w:t>
      </w:r>
    </w:p>
    <w:p/>
    <w:p>
      <w:pPr>
        <w:suppressAutoHyphens/>
        <w:ind w:firstLine="680"/>
        <w:jc w:val="both"/>
        <w:textAlignment w:val="baseline"/>
      </w:pPr>
      <w:r>
        <w:rPr>
          <w:szCs w:val="24"/>
          <w:lang w:eastAsia="lt-LT"/>
        </w:rPr>
        <w:t>t v i r t i n u Klasių paskirčių klasifikatorių (pridedama).</w:t>
      </w:r>
    </w:p>
    <w:p>
      <w:pPr>
        <w:widowControl w:val="0"/>
        <w:tabs>
          <w:tab w:val="right" w:pos="9071"/>
        </w:tabs>
      </w:pPr>
    </w:p>
    <w:p>
      <w:pPr>
        <w:widowControl w:val="0"/>
        <w:tabs>
          <w:tab w:val="right" w:pos="9071"/>
        </w:tabs>
      </w:pPr>
    </w:p>
    <w:p>
      <w:pPr>
        <w:widowControl w:val="0"/>
        <w:tabs>
          <w:tab w:val="right" w:pos="9071"/>
        </w:tabs>
      </w:pPr>
    </w:p>
    <w:p>
      <w:pPr>
        <w:widowControl w:val="0"/>
        <w:tabs>
          <w:tab w:val="right" w:pos="9071"/>
        </w:tabs>
        <w:rPr>
          <w:caps/>
          <w:color w:val="000000"/>
          <w:szCs w:val="24"/>
          <w:lang w:eastAsia="lt-LT"/>
        </w:rPr>
      </w:pPr>
      <w:r>
        <w:rPr>
          <w:caps/>
          <w:color w:val="000000"/>
          <w:szCs w:val="24"/>
          <w:lang w:eastAsia="lt-LT"/>
        </w:rPr>
        <w:t>Švietimo ir mokslo ministras</w:t>
        <w:tab/>
        <w:t>Dainius Pavalkis</w:t>
      </w:r>
    </w:p>
    <w:p/>
    <w:p>
      <w:pPr>
        <w:widowControl w:val="0"/>
        <w:ind w:left="4535"/>
      </w:pPr>
    </w:p>
    <w:p>
      <w:pPr>
        <w:sectPr>
          <w:headerReference w:type="even" r:id="rId21"/>
          <w:headerReference w:type="default" r:id="rId22"/>
          <w:footerReference w:type="even" r:id="rId23"/>
          <w:footerReference w:type="default" r:id="rId24"/>
          <w:headerReference w:type="first" r:id="rId25"/>
          <w:footerReference w:type="first" r:id="rId26"/>
          <w:pgSz w:w="11907" w:h="16840" w:code="9"/>
          <w:pgMar w:top="1134" w:right="1134" w:bottom="1134" w:left="1701" w:header="567" w:footer="284" w:gutter="0"/>
          <w:cols w:space="1296"/>
          <w:titlePg/>
          <w:docGrid w:linePitch="360"/>
        </w:sectPr>
      </w:pPr>
    </w:p>
    <w:p>
      <w:pPr>
        <w:widowControl w:val="0"/>
        <w:ind w:firstLine="4536"/>
        <w:rPr>
          <w:color w:val="000000"/>
          <w:szCs w:val="24"/>
          <w:lang w:eastAsia="lt-LT"/>
        </w:rPr>
      </w:pPr>
      <w:r>
        <w:rPr>
          <w:color w:val="000000"/>
          <w:szCs w:val="24"/>
          <w:lang w:eastAsia="lt-LT"/>
        </w:rPr>
        <w:t>PATVIRTINTA</w:t>
      </w:r>
    </w:p>
    <w:p>
      <w:pPr>
        <w:widowControl w:val="0"/>
        <w:ind w:firstLine="4536"/>
        <w:rPr>
          <w:color w:val="000000"/>
          <w:szCs w:val="24"/>
          <w:lang w:eastAsia="lt-LT"/>
        </w:rPr>
      </w:pPr>
      <w:r>
        <w:rPr>
          <w:color w:val="000000"/>
          <w:szCs w:val="24"/>
          <w:lang w:eastAsia="lt-LT"/>
        </w:rPr>
        <w:t xml:space="preserve">Lietuvos Respublikos švietimo, mokslo ir </w:t>
      </w:r>
    </w:p>
    <w:p>
      <w:pPr>
        <w:widowControl w:val="0"/>
        <w:ind w:firstLine="4536"/>
        <w:rPr>
          <w:color w:val="000000"/>
          <w:szCs w:val="24"/>
          <w:lang w:eastAsia="lt-LT"/>
        </w:rPr>
      </w:pPr>
      <w:r>
        <w:rPr>
          <w:color w:val="000000"/>
          <w:szCs w:val="24"/>
          <w:lang w:eastAsia="lt-LT"/>
        </w:rPr>
        <w:t xml:space="preserve">sporto ministro </w:t>
      </w:r>
    </w:p>
    <w:p>
      <w:pPr>
        <w:widowControl w:val="0"/>
        <w:ind w:firstLine="4536"/>
        <w:rPr>
          <w:color w:val="000000"/>
          <w:szCs w:val="24"/>
          <w:lang w:eastAsia="lt-LT"/>
        </w:rPr>
      </w:pPr>
      <w:r>
        <w:rPr>
          <w:color w:val="000000"/>
          <w:szCs w:val="24"/>
          <w:lang w:eastAsia="lt-LT"/>
        </w:rPr>
        <w:t>2013 m. rugsėjo 11 d. įsakymu Nr. V-856</w:t>
      </w:r>
    </w:p>
    <w:p>
      <w:pPr>
        <w:widowControl w:val="0"/>
        <w:ind w:firstLine="567"/>
        <w:jc w:val="both"/>
        <w:rPr>
          <w:color w:val="000000"/>
          <w:szCs w:val="24"/>
          <w:lang w:eastAsia="lt-LT"/>
        </w:rPr>
      </w:pPr>
    </w:p>
    <w:p>
      <w:pPr>
        <w:widowControl w:val="0"/>
        <w:jc w:val="center"/>
        <w:rPr>
          <w:b/>
          <w:bCs/>
          <w:caps/>
          <w:color w:val="000000"/>
          <w:szCs w:val="24"/>
          <w:lang w:eastAsia="lt-LT"/>
        </w:rPr>
      </w:pPr>
      <w:r>
        <w:rPr>
          <w:b/>
          <w:bCs/>
          <w:caps/>
          <w:color w:val="000000"/>
          <w:szCs w:val="24"/>
          <w:lang w:eastAsia="lt-LT"/>
        </w:rPr>
        <w:t>KLASIŲ PASKIRČIŲ KLASIFIKATORIUS</w:t>
      </w:r>
    </w:p>
    <w:p>
      <w:pPr>
        <w:widowControl w:val="0"/>
        <w:ind w:firstLine="567"/>
        <w:jc w:val="both"/>
        <w:rPr>
          <w:color w:val="000000"/>
          <w:szCs w:val="24"/>
          <w:lang w:eastAsia="lt-LT"/>
        </w:rPr>
      </w:pPr>
    </w:p>
    <w:tbl>
      <w:tblPr>
        <w:tblW w:w="9070" w:type="dxa"/>
        <w:tblLayout w:type="fixed"/>
        <w:tblCellMar>
          <w:left w:w="0" w:type="dxa"/>
          <w:right w:w="0" w:type="dxa"/>
        </w:tblCellMar>
        <w:tblLook w:val="0000" w:firstRow="0" w:lastRow="0" w:firstColumn="0" w:lastColumn="0" w:noHBand="0" w:noVBand="0"/>
      </w:tblPr>
      <w:tblGrid>
        <w:gridCol w:w="4246"/>
        <w:gridCol w:w="4824"/>
      </w:tblGrid>
      <w:tr>
        <w:trPr>
          <w:trHeight w:val="60"/>
        </w:trPr>
        <w:tc>
          <w:tcPr>
            <w:tcW w:w="459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Klasifikatoriaus pavadinimas lietuvių kalba</w:t>
            </w:r>
          </w:p>
          <w:p>
            <w:pPr>
              <w:widowControl w:val="0"/>
              <w:rPr>
                <w:color w:val="000000"/>
                <w:szCs w:val="24"/>
                <w:lang w:eastAsia="lt-LT"/>
              </w:rPr>
            </w:pPr>
          </w:p>
        </w:tc>
        <w:tc>
          <w:tcPr>
            <w:tcW w:w="52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Klasių paskirtys</w:t>
            </w:r>
          </w:p>
          <w:p>
            <w:pPr>
              <w:widowControl w:val="0"/>
              <w:rPr>
                <w:color w:val="000000"/>
                <w:szCs w:val="24"/>
                <w:lang w:eastAsia="lt-LT"/>
              </w:rPr>
            </w:pPr>
          </w:p>
        </w:tc>
      </w:tr>
      <w:tr>
        <w:trPr>
          <w:trHeight w:val="60"/>
        </w:trPr>
        <w:tc>
          <w:tcPr>
            <w:tcW w:w="459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Klasifikatoriaus pavadinimas anglų kalba</w:t>
            </w:r>
          </w:p>
          <w:p>
            <w:pPr>
              <w:widowControl w:val="0"/>
              <w:rPr>
                <w:color w:val="000000"/>
                <w:szCs w:val="24"/>
                <w:lang w:eastAsia="lt-LT"/>
              </w:rPr>
            </w:pPr>
          </w:p>
        </w:tc>
        <w:tc>
          <w:tcPr>
            <w:tcW w:w="52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Class purpose</w:t>
            </w:r>
          </w:p>
          <w:p>
            <w:pPr>
              <w:widowControl w:val="0"/>
              <w:rPr>
                <w:color w:val="000000"/>
                <w:szCs w:val="24"/>
                <w:lang w:eastAsia="lt-LT"/>
              </w:rPr>
            </w:pPr>
          </w:p>
        </w:tc>
      </w:tr>
      <w:tr>
        <w:trPr>
          <w:trHeight w:val="60"/>
        </w:trPr>
        <w:tc>
          <w:tcPr>
            <w:tcW w:w="459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Klasifikatoriaus pavadinimo lietuvių kalba abėcėlinė santrumpa</w:t>
            </w:r>
          </w:p>
          <w:p>
            <w:pPr>
              <w:widowControl w:val="0"/>
              <w:rPr>
                <w:color w:val="000000"/>
                <w:szCs w:val="24"/>
                <w:lang w:eastAsia="lt-LT"/>
              </w:rPr>
            </w:pPr>
          </w:p>
        </w:tc>
        <w:tc>
          <w:tcPr>
            <w:tcW w:w="52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KL_M_KLASPASK</w:t>
            </w:r>
          </w:p>
          <w:p>
            <w:pPr>
              <w:widowControl w:val="0"/>
              <w:rPr>
                <w:color w:val="000000"/>
                <w:szCs w:val="24"/>
                <w:lang w:eastAsia="lt-LT"/>
              </w:rPr>
            </w:pPr>
          </w:p>
        </w:tc>
      </w:tr>
      <w:tr>
        <w:trPr>
          <w:trHeight w:val="60"/>
        </w:trPr>
        <w:tc>
          <w:tcPr>
            <w:tcW w:w="459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Klasifikatoriaus paskirtis</w:t>
            </w:r>
          </w:p>
          <w:p>
            <w:pPr>
              <w:widowControl w:val="0"/>
              <w:rPr>
                <w:color w:val="000000"/>
                <w:szCs w:val="24"/>
                <w:lang w:eastAsia="lt-LT"/>
              </w:rPr>
            </w:pPr>
          </w:p>
        </w:tc>
        <w:tc>
          <w:tcPr>
            <w:tcW w:w="52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pacing w:val="-2"/>
                <w:szCs w:val="24"/>
                <w:lang w:eastAsia="lt-LT"/>
              </w:rPr>
            </w:pPr>
            <w:r>
              <w:rPr>
                <w:color w:val="000000"/>
                <w:spacing w:val="-2"/>
                <w:szCs w:val="24"/>
                <w:lang w:eastAsia="lt-LT"/>
              </w:rPr>
              <w:t xml:space="preserve">Atsižvelgiant į Mokyklų, vykdančių formaliojo švietimo programas, tinklo kūrimo taisykles, patvirtintas Lietuvos Respublikos Vyriausybės 2011 m. birželio 29 d. nutarimu Nr. 768 (Žin., 2011, Nr. </w:t>
            </w:r>
            <w:hyperlink r:id="rId27" w:tgtFrame="_blank" w:history="1">
              <w:r>
                <w:rPr>
                  <w:color w:val="0000FF" w:themeColor="hyperlink"/>
                  <w:spacing w:val="-2"/>
                  <w:szCs w:val="24"/>
                  <w:u w:val="single"/>
                  <w:lang w:eastAsia="lt-LT"/>
                </w:rPr>
                <w:t>79-3869</w:t>
              </w:r>
            </w:hyperlink>
            <w:r>
              <w:rPr>
                <w:color w:val="000000"/>
                <w:spacing w:val="-2"/>
                <w:szCs w:val="24"/>
                <w:lang w:eastAsia="lt-LT"/>
              </w:rPr>
              <w:t>), suskirstyti mokyklų klases į klasių paskirtis pagal formaliojo švietimo programas, specialiuosius ugdymosi poreikius, ugdymosi paskirtį</w:t>
            </w:r>
          </w:p>
          <w:p>
            <w:pPr>
              <w:widowControl w:val="0"/>
              <w:rPr>
                <w:color w:val="000000"/>
                <w:szCs w:val="24"/>
                <w:lang w:eastAsia="lt-LT"/>
              </w:rPr>
            </w:pPr>
          </w:p>
        </w:tc>
      </w:tr>
      <w:tr>
        <w:trPr>
          <w:trHeight w:val="60"/>
        </w:trPr>
        <w:tc>
          <w:tcPr>
            <w:tcW w:w="459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Klasifikatoriaus tipas</w:t>
            </w:r>
          </w:p>
          <w:p>
            <w:pPr>
              <w:widowControl w:val="0"/>
              <w:rPr>
                <w:color w:val="000000"/>
                <w:szCs w:val="24"/>
                <w:lang w:eastAsia="lt-LT"/>
              </w:rPr>
            </w:pPr>
          </w:p>
        </w:tc>
        <w:tc>
          <w:tcPr>
            <w:tcW w:w="52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Žinybinis</w:t>
            </w:r>
          </w:p>
          <w:p>
            <w:pPr>
              <w:widowControl w:val="0"/>
              <w:rPr>
                <w:color w:val="000000"/>
                <w:szCs w:val="24"/>
                <w:lang w:eastAsia="lt-LT"/>
              </w:rPr>
            </w:pPr>
          </w:p>
        </w:tc>
      </w:tr>
      <w:tr>
        <w:trPr>
          <w:trHeight w:val="60"/>
        </w:trPr>
        <w:tc>
          <w:tcPr>
            <w:tcW w:w="459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Klasifikatoriaus rengėjo pavadinimas</w:t>
            </w:r>
          </w:p>
          <w:p>
            <w:pPr>
              <w:widowControl w:val="0"/>
              <w:rPr>
                <w:color w:val="000000"/>
                <w:szCs w:val="24"/>
                <w:lang w:eastAsia="lt-LT"/>
              </w:rPr>
            </w:pPr>
          </w:p>
        </w:tc>
        <w:tc>
          <w:tcPr>
            <w:tcW w:w="52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Švietimo informacinių technologijų centras</w:t>
            </w:r>
          </w:p>
          <w:p>
            <w:pPr>
              <w:widowControl w:val="0"/>
              <w:rPr>
                <w:color w:val="000000"/>
                <w:szCs w:val="24"/>
                <w:lang w:eastAsia="lt-LT"/>
              </w:rPr>
            </w:pPr>
          </w:p>
        </w:tc>
      </w:tr>
    </w:tbl>
    <w:p>
      <w:pPr>
        <w:widowControl w:val="0"/>
        <w:ind w:firstLine="567"/>
        <w:jc w:val="both"/>
        <w:rPr>
          <w:b/>
          <w:bCs/>
          <w:color w:val="000000"/>
          <w:szCs w:val="24"/>
          <w:lang w:eastAsia="lt-LT"/>
        </w:rPr>
      </w:pPr>
    </w:p>
    <w:p>
      <w:pPr>
        <w:widowControl w:val="0"/>
        <w:ind w:firstLine="567"/>
        <w:jc w:val="both"/>
        <w:rPr>
          <w:color w:val="000000"/>
          <w:szCs w:val="24"/>
          <w:lang w:eastAsia="lt-LT"/>
        </w:rPr>
      </w:pPr>
      <w:r>
        <w:rPr>
          <w:color w:val="000000"/>
          <w:szCs w:val="24"/>
          <w:lang w:eastAsia="lt-LT"/>
        </w:rPr>
        <w:t>Klasifikatoriaus duomenys:</w:t>
      </w:r>
    </w:p>
    <w:tbl>
      <w:tblPr>
        <w:tblW w:w="9070" w:type="dxa"/>
        <w:tblLayout w:type="fixed"/>
        <w:tblCellMar>
          <w:left w:w="0" w:type="dxa"/>
          <w:right w:w="0" w:type="dxa"/>
        </w:tblCellMar>
        <w:tblLook w:val="0000" w:firstRow="0" w:lastRow="0" w:firstColumn="0" w:lastColumn="0" w:noHBand="0" w:noVBand="0"/>
      </w:tblPr>
      <w:tblGrid>
        <w:gridCol w:w="664"/>
        <w:gridCol w:w="1073"/>
        <w:gridCol w:w="1085"/>
        <w:gridCol w:w="175"/>
        <w:gridCol w:w="1260"/>
        <w:gridCol w:w="4813"/>
      </w:tblGrid>
      <w:tr>
        <w:trPr>
          <w:trHeight w:val="60"/>
          <w:tblHeader/>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pPr>
              <w:widowControl w:val="0"/>
              <w:jc w:val="center"/>
              <w:rPr>
                <w:color w:val="000000"/>
                <w:szCs w:val="24"/>
                <w:lang w:eastAsia="lt-LT"/>
              </w:rPr>
            </w:pPr>
            <w:r>
              <w:rPr>
                <w:color w:val="000000"/>
                <w:szCs w:val="24"/>
                <w:lang w:eastAsia="lt-LT"/>
              </w:rPr>
              <w:t xml:space="preserve">Eil. Nr.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pPr>
              <w:widowControl w:val="0"/>
              <w:jc w:val="center"/>
              <w:rPr>
                <w:color w:val="000000"/>
                <w:szCs w:val="24"/>
                <w:lang w:eastAsia="lt-LT"/>
              </w:rPr>
            </w:pPr>
            <w:r>
              <w:rPr>
                <w:color w:val="000000"/>
                <w:szCs w:val="24"/>
                <w:lang w:eastAsia="lt-LT"/>
              </w:rPr>
              <w:t xml:space="preserve">Kodas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pPr>
              <w:widowControl w:val="0"/>
              <w:jc w:val="center"/>
              <w:rPr>
                <w:color w:val="000000"/>
                <w:szCs w:val="24"/>
                <w:lang w:eastAsia="lt-LT"/>
              </w:rPr>
            </w:pPr>
            <w:r>
              <w:rPr>
                <w:color w:val="000000"/>
                <w:szCs w:val="24"/>
                <w:lang w:eastAsia="lt-LT"/>
              </w:rPr>
              <w:t xml:space="preserve">Pavadinimas lietuvių kalba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pPr>
              <w:widowControl w:val="0"/>
              <w:jc w:val="center"/>
              <w:rPr>
                <w:color w:val="000000"/>
                <w:szCs w:val="24"/>
                <w:lang w:eastAsia="lt-LT"/>
              </w:rPr>
            </w:pPr>
            <w:r>
              <w:rPr>
                <w:color w:val="000000"/>
                <w:szCs w:val="24"/>
                <w:lang w:eastAsia="lt-LT"/>
              </w:rPr>
              <w:t xml:space="preserve">Aprašymas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110101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Bendroji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mokytis pagal pradinio, pagrindinio ar vidurinio ugdymo bendrąsias programas bendrojoje bendrojo ugdymo mokykloje arba pagal pagrindinio ugdymo programos antrąją dalį profesinio mokymo įstaigoje </w:t>
            </w:r>
          </w:p>
        </w:tc>
      </w:tr>
      <w:tr>
        <w:trPr>
          <w:trHeight w:val="492"/>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110201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Užsienio valstybės švietimo programos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mokytis pagal užsienio valstybės bendrojo ugdymo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3.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110301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Tarptautinio bakalaureato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mokytis pagal tarptautinio bakalaureato programą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4.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110401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Suaugusiųjų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suaugusiems asmenims mokytis pagal suaugusiųjų pradinio, suaugusiųjų pagrindinio ar suaugusiųjų vidurinio ugdymo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5.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110501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Dirbančio jaunimo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16–17 metų dirbantiems jaunuoliams, nepilnametėms, esančioms nėštumo ir gimdymo atostogose, nepilnamečiams, auginantiems vaikus, mokytis pagal suaugusiųjų pagrindinio ugdymo programos antrąją dalį ar suaugusiųjų vidurinio ugdymo programą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6.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110601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Valdorfo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(nevalstybinėje mokykloje), skirta mokiniams mokytis pagal bendrąją pradinio, bendrąją pagrindinio ar bendrąją vidurinio ugdymo programas arba mokyklos parengtas pradinio, pagrindinio ar vidurinio ugdymo programas, ir ugdymas grindžiamas Valdorfo pedagogikos Lietuvoje koncepcija, patvirtinta Lietuvos Respublikos švietimo ir mokslo ministro 2004 m. gegužės 17 d. įsakymu Nr. ISAK-761 (Žin., 2004, Nr. </w:t>
            </w:r>
            <w:hyperlink r:id="rId28" w:tgtFrame="_blank" w:history="1">
              <w:r>
                <w:rPr>
                  <w:color w:val="0000FF" w:themeColor="hyperlink"/>
                  <w:szCs w:val="24"/>
                  <w:u w:val="single"/>
                  <w:lang w:eastAsia="lt-LT"/>
                </w:rPr>
                <w:t>83-3031</w:t>
              </w:r>
            </w:hyperlink>
            <w:r>
              <w:rPr>
                <w:color w:val="000000"/>
                <w:szCs w:val="24"/>
                <w:lang w:eastAsia="lt-LT"/>
              </w:rPr>
              <w:t xml:space="preserve">)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7.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110602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Valdorfo pedagogikos elementų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(savivaldybės ar valstybinėje mokykloje (viešojoje įstaigoje)), skirta mokiniams mokytis pagal bendrąją pradinio, bendrąją pagrindinio ar bendrąją vidurinio ugdymo programas arba mokyklos parengtas pradinio, pagrindinio ar vidurinio ugdymo programas, kai ugdymas grindžiamas Valdorfo pedagogikos Lietuvoje koncepcijos atskirais elementais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8.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110701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Montessori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(nevalstybinėje mokykloje), skirta mokiniams mokytis pagal bendrąją pradinio ar bendrąją pagrindinio ugdymo programas arba mokyklos parengtas pradinio ar pagrindinio ugdymo programas, ir ugdymas grindžiamas Montessori pedagogikos Lietuvoje samprata, patvirtinta Lietuvos Respublikos švietimo ir mokslo ministro 2004 m. birželio 23 d. įsakymu Nr. ISAK-1009 (Žin., 2004, Nr. </w:t>
            </w:r>
            <w:hyperlink r:id="rId29" w:tgtFrame="_blank" w:history="1">
              <w:r>
                <w:rPr>
                  <w:color w:val="0000FF" w:themeColor="hyperlink"/>
                  <w:szCs w:val="24"/>
                  <w:u w:val="single"/>
                  <w:lang w:eastAsia="lt-LT"/>
                </w:rPr>
                <w:t>104-3854</w:t>
              </w:r>
            </w:hyperlink>
            <w:r>
              <w:rPr>
                <w:color w:val="000000"/>
                <w:szCs w:val="24"/>
                <w:lang w:eastAsia="lt-LT"/>
              </w:rPr>
              <w:t xml:space="preserve">)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9.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110702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Montessori pedagogikos elementų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(savivaldybės ar valstybinėje mokykloje (viešojoje įstaigoje)), skirta mokiniams mokytis pagal bendrąją pradinio ar bendrąją pagrindinio ugdymo programas arba mokyklos parengtas pradinio ar pagrindinio ugdymo programas, kai ugdymas grindžiamas Montessori pedagogikos Lietuvoje koncepcijos atskirais elementais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10.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110801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Suzuki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(nevalstybinėje mokykloje), skirta mokiniams mokytis pagal bendrąją pradinio ar bendrąją pagrindinio ugdymo programas arba mokyklos parengtas pradinio ar pagrindinio ugdymo programas, ir ugdymas grindžiamas Suzuki talentų ugdymo Lietuvoje koncepcija, patvirtinta Lietuvos Respublikos švietimo ir mokslo ministro 2005 m. birželio 17 d. įsakymu Nr. ISAK-1128 (Žin., 2005, Nr. </w:t>
            </w:r>
            <w:hyperlink r:id="rId30" w:tgtFrame="_blank" w:history="1">
              <w:r>
                <w:rPr>
                  <w:color w:val="0000FF" w:themeColor="hyperlink"/>
                  <w:szCs w:val="24"/>
                  <w:u w:val="single"/>
                  <w:lang w:eastAsia="lt-LT"/>
                </w:rPr>
                <w:t>79-2875</w:t>
              </w:r>
            </w:hyperlink>
            <w:r>
              <w:rPr>
                <w:color w:val="000000"/>
                <w:szCs w:val="24"/>
                <w:lang w:eastAsia="lt-LT"/>
              </w:rPr>
              <w:t xml:space="preserve">)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11.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110802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Suzuki pedagogikos elementų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(savivaldybės ar valstybinėje mokykloje (viešojoje įstaigoje)), skirta mokiniams mokytis pagal bendrąją pradinio ar bendrąją pagrindinio ugdymo programas arba mokyklos parengtas pradinio ar pagrindinio ugdymo programas, kai ugdymas grindžiamas Suzuki talentų ugdymo Lietuvoje koncepcijos atskirais elementais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12.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110901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Katalikiška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(nevalstybinėje mokykloje), skirta mokiniams mokytis pagal bendrąją pradinio, bendrąją pagrindinio ar bendrąją vidurinio ugdymo programas arba mokyklos parengtas pradinio, pagrindinio ar vidurinio ugdymo programas, ir ugdymas grindžiamas Katalikiškojo ugdymo sistemos samprata, patvirtinta Lietuvos Respublikos švietimo ir mokslo ministro 2012 m. lapkričio 16 d. įsakymu Nr. V-1599 (Žin., 2012, Nr. </w:t>
            </w:r>
            <w:hyperlink r:id="rId31" w:tgtFrame="_blank" w:history="1">
              <w:r>
                <w:rPr>
                  <w:color w:val="0000FF" w:themeColor="hyperlink"/>
                  <w:szCs w:val="24"/>
                  <w:u w:val="single"/>
                  <w:lang w:eastAsia="lt-LT"/>
                </w:rPr>
                <w:t>137-7033</w:t>
              </w:r>
            </w:hyperlink>
            <w:r>
              <w:rPr>
                <w:color w:val="000000"/>
                <w:szCs w:val="24"/>
                <w:lang w:eastAsia="lt-LT"/>
              </w:rPr>
              <w:t xml:space="preserve">)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13.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110902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Katalikiškojo ugdymo elementų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(savivaldybės ar valstybinėje mokykloje (viešojoje įstaigoje)), skirta mokiniams mokytis pagal bendrąją pradinio, bendrąją pagrindinio ar bendrąją vidurinio ugdymo programas arba mokyklos parengtas pradinio, pagrindinio ar vidurinio ugdymo programas, kai ugdymas grindžiamas Katalikiškojo ugdymo sistemos sampratos atskirais elementais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14.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111001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Sausumos kadetų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(nevalstybinėje mokykloje), skirta mokiniams mokytis pagal bendrąją pradinio, bendrąją pagrindinio ar bendrąją vidurinio ugdymo programas arba mokyklos parengtas pradinio, pagrindinio ar vidurinio ugdymo programas, ir ugdymas grindžiamas Sausumos kadetų ugdymo samprata, patvirtinta Lietuvos Respublikos švietimo ir mokslo ministro 2012 m. lapkričio 16 d. įsakymu Nr. V-1586 (Žin., 2012, Nr. </w:t>
            </w:r>
            <w:hyperlink r:id="rId32" w:tgtFrame="_blank" w:history="1">
              <w:r>
                <w:rPr>
                  <w:color w:val="0000FF" w:themeColor="hyperlink"/>
                  <w:szCs w:val="24"/>
                  <w:u w:val="single"/>
                  <w:lang w:eastAsia="lt-LT"/>
                </w:rPr>
                <w:t>137-7031</w:t>
              </w:r>
            </w:hyperlink>
            <w:r>
              <w:rPr>
                <w:color w:val="000000"/>
                <w:szCs w:val="24"/>
                <w:lang w:eastAsia="lt-LT"/>
              </w:rPr>
              <w:t xml:space="preserve">)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15.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111002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Sausumos kadetų ugdymo elementų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(savivaldybės ar valstybinėje mokykloje (viešojoje įstaigoje)), skirta mokiniams mokytis pagal bendrąją pradinio, bendrąją pagrindinio ar bendrąją vidurinio ugdymo programas arba mokyklos parengtas pradinio, pagrindinio ar vidurinio ugdymo programas, kai ugdymas grindžiamas Sausumos kadetų ugdymo sampratos atskirais elementais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16.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111101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Humanistinės kultūros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(nevalstybinėje mokykloje), skirta mokiniams mokytis pagal bendrąją pradinio, bendrąją pagrindinio ar bendrąją vidurinio ugdymo programas arba mokyklos parengtas pradinio, pagrindinio ar vidurinio ugdymo programas, kai ugdymas grindžiamas Humanistinės kultūros ugdymo menine veikla samprata, patvirtinta Lietuvos Respublikos švietimo ir mokslo ministro 2012 m. lapkričio 16 d. įsakymu Nr. V-1595 (Žin., 2012, Nr. </w:t>
            </w:r>
            <w:hyperlink r:id="rId33" w:tgtFrame="_blank" w:history="1">
              <w:r>
                <w:rPr>
                  <w:color w:val="0000FF" w:themeColor="hyperlink"/>
                  <w:szCs w:val="24"/>
                  <w:u w:val="single"/>
                  <w:lang w:eastAsia="lt-LT"/>
                </w:rPr>
                <w:t>137-7032</w:t>
              </w:r>
            </w:hyperlink>
            <w:r>
              <w:rPr>
                <w:color w:val="000000"/>
                <w:szCs w:val="24"/>
                <w:lang w:eastAsia="lt-LT"/>
              </w:rPr>
              <w:t xml:space="preserve">)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17.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111102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Humanistinės kultūros ugdymo elementų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(savivaldybės ar valstybinėje mokykloje (viešojoje įstaigoje)), skirta mokiniams mokytis pagal bendrąją pradinio, bendrąją pagrindinio ar bendrąją vidurinio ugdymo programas arba mokyklos parengtas pradinio, pagrindinio ar vidurinio ugdymo programas, kai ugdymas grindžiamas Humanistinės kultūros ugdymo meninės veiklos sampratos atskirais elementais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18.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210101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Muzikos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turintiems išskirtinių gabumų mokytis pagal specializuoto ugdymo krypties programas (pradinio, pagrindinio ir vidurinio ugdymo kartu su muzikos ugdymu)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19.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210102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Dailės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turintiems išskirtinių gabumų mokytis pagal specializuoto ugdymo krypties programas (pradinio, pagrindinio ir vidurinio ugdymo kartu su dailės ugdymu)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20.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210103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Menų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turintiems išskirtinių gabumų mokytis pagal specializuoto ugdymo krypties programas (pradinio, pagrindinio ir vidurinio ugdymo kartu su menų ugdymu)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21.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210104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Sporto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turintiems išskirtinių gabumų mokytis pagal specializuoto ugdymo krypties programas (pradinio, pagrindinio ir vidurinio ugdymo kartu su sporto ugdymu)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22.</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210105</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Inžinerinio ugdymo klasė</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rPr>
                <w:sz w:val="8"/>
                <w:szCs w:val="8"/>
              </w:rPr>
            </w:pPr>
          </w:p>
          <w:p>
            <w:pPr>
              <w:widowControl w:val="0"/>
              <w:rPr>
                <w:color w:val="000000"/>
                <w:szCs w:val="24"/>
                <w:lang w:eastAsia="lt-LT"/>
              </w:rPr>
            </w:pPr>
            <w:r>
              <w:rPr>
                <w:szCs w:val="24"/>
                <w:lang w:eastAsia="lt-LT"/>
              </w:rPr>
              <w:t>Klasė, skirta mokiniams, turintiems išskirtinių gabumų mokytis pagal specializuoto ugdymo krypties programas (pradinio, pagrindinio ir vidurinio ugdymo kartu su inžineriniu ugdymu)</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23.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210201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Specialioji klasė turintiesiems sveikatos problemų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turintiems didelių ar labai didelių specialiųjų ugdymosi poreikių dėl sveikatos problemų dėl jungiamojo audinio ir raumenų ir skeleto ligų, įgimtų formavimosi ydų ar kitų ligų, mokytis pagal pritaikomą pradinio, pagrindinio ar vidurinio ugdymo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24.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210202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Specialioji klasė turintiesiems judesio ir padėties sutrikimų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turintiems didelių ar labai didelių specialiųjų ugdymosi poreikių dėl vidutinių ar sunkių judesio ir padėties sutrikimų, mokytis pagal pritaikomą pradinio, pagrindinio ar vidurinio ugdymo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25.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210203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Specialioji klasė turintiesiems kalbėjimo ir kalbos sutrikimų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turintiems didelių ar labai didelių specialiųjų ugdymosi poreikių dėl kalbėjimo ir kalbos sutrikimų, mokytis pagal pritaikomą pradinio ar pagrindinio ugdymo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26.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210204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Specialioji klasė turintiesiems nežymų intelekto sutrikimą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turintiems didelių specialiųjų ugdymosi poreikių dėl nežymaus intelekto sutrikimo, mokytis pagal pradinio ar pagrindinio ugdymo individualizuotas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27.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120205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Specialioji klasė akliesiems ir silpnaregiams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turintiems didelių ar labai didelių specialiųjų ugdymosi poreikių dėl regos sutrikimų, mokytis pagal pritaikomą pradinio, pagrindinio ar vidurinio ugdymo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28.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210206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Specialioji klasė kurtiesiems ir neprigirdintiesiems (kochlearinių implantų naudotojams)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turintiems didelių ar labai didelių specialiųjų ugdymosi poreikių dėl klausos sutrikimo, mokytis pagal pritaikomą pradinio, pagrindinio ar vidurinio ugdymo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29.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210207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Specialioji klasė turintiesiems elgesio ir emocijų sutrikimų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turintiems didelių ar labai didelių specialiųjų ugdymosi poreikių dėl elgesio ar (ir) emocijų sutrikimų, mokytis pagal pritaikomą pradinio ar pagrindinio ugdymo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suppressAutoHyphens/>
              <w:jc w:val="center"/>
              <w:textAlignment w:val="baseline"/>
            </w:pPr>
            <w:r>
              <w:rPr>
                <w:color w:val="000000"/>
                <w:szCs w:val="24"/>
                <w:lang w:eastAsia="lt-LT"/>
              </w:rPr>
              <w:t>30.</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suppressAutoHyphens/>
              <w:textAlignment w:val="baseline"/>
            </w:pPr>
            <w:r>
              <w:rPr>
                <w:color w:val="000000"/>
                <w:szCs w:val="24"/>
                <w:lang w:eastAsia="lt-LT"/>
              </w:rPr>
              <w:t>210208</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suppressAutoHyphens/>
              <w:textAlignment w:val="baseline"/>
            </w:pPr>
            <w:r>
              <w:rPr>
                <w:color w:val="000000"/>
                <w:szCs w:val="24"/>
                <w:lang w:eastAsia="lt-LT"/>
              </w:rPr>
              <w:t>Specialioji klasė turintiesiems įvairiapusių raidos sutrikimų</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suppressAutoHyphens/>
              <w:textAlignment w:val="baseline"/>
            </w:pPr>
            <w:r>
              <w:rPr>
                <w:color w:val="000000"/>
                <w:szCs w:val="24"/>
                <w:lang w:eastAsia="lt-LT"/>
              </w:rPr>
              <w:t>Klasė, skirta mokiniams, turintiems didelių ar labai didelių specialiųjų ugdymosi poreikių dėl įvairiapusių raidos sutrikimų, mokytis pagal pritaikomą pradinio, pagrindinio ar vidurinio ugdymo programas arba pradinio ugdymo individualizuotą, pagrindinio ugdymo individualizuotą ar socialinių įgūdžių ugdymo programas</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31.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210301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Specialioji (lavinamoji) klasė turintiesiems vidutinį, žymų ar labai žymų intelekto sutrikimą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turintiems didelių ar labai didelių specialiųjų ugdymosi poreikių dėl vidutinio, žymaus ar labai žymaus intelekto sutrikimo, mokytis pagal pradinio ugdymo ar pagrindinio ugdymo individualizuotas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32.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210302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Specialioji (lavinamoji) klasė turintiesiems kompleksinių negalių, kurių derinio dalis yra intelekto sutrikimas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turintiems labai didelių specialiųjų ugdymosi poreikių dėl kompleksinių negalių, kurių derinio dalis yra intelekto sutrikimas, mokytis pagal pradinio ugdymo ar pagrindinio ugdymo individualizuotas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33.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210401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Specialioji (parengiamoji) klasė kurtiesiems ir neprigirdintiesiems (kochlearinių implantų naudotojams)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vaikams, turintiems didelių ar labai didelių specialiųjų ugdymosi poreikių dėl klausos sutrikimo, mokytis ilgesnį nei nustatytą laiką (vienerius papildomus metus) pagal pritaikomą pradinio ugdymo programą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34.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210402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Specialioji (parengiamoji) klasė akliesiems ir silpnaregiams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vaikams, turintiems didelių ar labai didelių specialiųjų ugdymosi poreikių dėl regos sutrikimo, mokytis ilgesnį nei nustatytą laiką (vienerius papildomus metus) pagal pritaikomą pradinio ugdymo programą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35.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210403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Specialioji (parengiamoji) klasė turintiesiems kalbos ir kalbėjimo sutrikimų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vaikams, turintiems didelių ar labai didelių specialiųjų ugdymosi poreikių dėl kalbos ir kalbėjimo sutrikimų, mokytis ilgesnį nei nustatytą laiką (vienerius papildomus metus) pagal pritaikomą pradinio ugdymo programą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36.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210501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Specialioji (socialinių įgūdžių ugdymo)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turintiems didelių ar labai didelių specialiųjų ugdymosi poreikių dėl intelekto sutrikimo, mokytis pagal socialinių įgūdžių ugdymo programą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37.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210601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Nuotolinė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w:t>
            </w:r>
            <w:r>
              <w:rPr>
                <w:color w:val="000000"/>
                <w:spacing w:val="-1"/>
                <w:szCs w:val="24"/>
                <w:lang w:eastAsia="lt-LT"/>
              </w:rPr>
              <w:t>mokiniams</w:t>
            </w:r>
            <w:r>
              <w:rPr>
                <w:color w:val="000000"/>
                <w:szCs w:val="24"/>
                <w:lang w:eastAsia="lt-LT"/>
              </w:rPr>
              <w:t xml:space="preserve"> mokytis nuotoliniu ugdymo proceso organizavimo būdu pagal pradinio, pagrindinio ar vidurinio ugdymo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38.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210602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Nuotolinė lituanistinė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užsienyje gyvenantiems asmenims mokytis nuotoliniu ugdymo proceso organizavimo būdu lietuvių kalbos, Lietuvos istorijos ir geografijos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39.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210603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Suaugusiųjų nuotolinė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suaugusiems asmenims mokytis nuotoliniu ugdymo proceso organizavimo būdu pagal suaugusiųjų pradinio, suaugusiųjų pagrindinio ar suaugusiųjų vidurinio ugdymo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40.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szCs w:val="24"/>
                <w:lang w:eastAsia="lt-LT"/>
              </w:rPr>
            </w:pPr>
            <w:r>
              <w:rPr>
                <w:szCs w:val="24"/>
                <w:lang w:eastAsia="lt-LT"/>
              </w:rPr>
              <w:t>210701</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spacing w:line="288" w:lineRule="auto"/>
              <w:textAlignment w:val="center"/>
              <w:rPr>
                <w:szCs w:val="24"/>
                <w:lang w:eastAsia="lt-LT"/>
              </w:rPr>
            </w:pPr>
            <w:r>
              <w:rPr>
                <w:szCs w:val="24"/>
                <w:lang w:eastAsia="lt-LT"/>
              </w:rPr>
              <w:t>Išlyginamoji Vilniaus lietuvių namų klasė</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jc w:val="both"/>
            </w:pPr>
            <w:r>
              <w:t>Klasė, skirta lietuvių kilmės tremtinių, politinių kalinių palikuonims, užsieniečiams ir Lietuvos Respublikos piliečiams, atvykusiems ar grįžusiems nuolat ar laikinai gyventi Lietuvos Respublikoje, užsienyje gyvenančių Lietuvos piliečių vaikams, dėl nepalankių aplinkos veiksnių turintiems specialiųjų ugdymosi poreikių, mokytis lietuvių kalbos ir kai kurių dalykų pagal pradinio, pagrindinio ar vidurinio ugdymo programas“.</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41.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210702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spacing w:line="288" w:lineRule="auto"/>
              <w:textAlignment w:val="center"/>
              <w:rPr>
                <w:szCs w:val="24"/>
                <w:lang w:eastAsia="lt-LT"/>
              </w:rPr>
            </w:pPr>
            <w:r>
              <w:rPr>
                <w:szCs w:val="24"/>
                <w:lang w:eastAsia="lt-LT"/>
              </w:rPr>
              <w:t>Išlyginamoji lietuvių kalbos klasė</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rPr>
                <w:sz w:val="8"/>
                <w:szCs w:val="8"/>
              </w:rPr>
            </w:pPr>
          </w:p>
          <w:p>
            <w:pPr>
              <w:jc w:val="both"/>
            </w:pPr>
            <w:r>
              <w:t>Klasė, skirta užsieniečiams ir Lietuvos Respublikos piliečiams, atvykusiems ar grįžusiems gyventi ir dirbti Lietuvos Respublikoje, nemokantiems lietuvių kalbos ir neturintiems pradinio, pagrindinio ar vidurinio išsilavinimo, mokytis lietuvių kalbos, ir siekiantiems tęsti mokymąsi pagal bendrojo ugdymo programas“.</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42.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210703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Išlyginamoji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nutraukusiems mokymąsi ar nesimokiusiems kai kurių bendrojo ugdymo dalykų, tęsti mokymąsi pagal bendrojo ugdymo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43.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210801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Jaunimo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12–16 metų mokiniams, stokojantiems mokymosi motyvacijos, socialinių įgūdžių, turintiems mokymosi sunkumų, linkusiems į praktinę veiklą, mokytis pagal pagrindinio ugdymo programą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44.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210901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Produktyvaus mokymo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15–17 metų mokiniams, turintiems mokymosi sunkumų arba grįžusiems į švietimo sistemą po to, kai iš jos iškrito, norintiems socializuotis, pritapti švietimo sistemoje per pasirinktą ir asmeniškai patrauklią darbinę veiklą, mokytis pagal produktyvaus mokymo programą, atitinkančią pagrindinio ugdymo programos antrąją dalį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45.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211001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spacing w:line="288" w:lineRule="auto"/>
              <w:textAlignment w:val="center"/>
              <w:rPr>
                <w:szCs w:val="24"/>
                <w:lang w:eastAsia="lt-LT"/>
              </w:rPr>
            </w:pPr>
            <w:r>
              <w:rPr>
                <w:szCs w:val="24"/>
                <w:lang w:eastAsia="lt-LT"/>
              </w:rPr>
              <w:t>Vaikų socializacijos klasė</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jc w:val="both"/>
            </w:pPr>
            <w:r>
              <w:rPr>
                <w:color w:val="000000"/>
                <w:szCs w:val="24"/>
                <w:lang w:eastAsia="lt-LT"/>
              </w:rPr>
              <w:t>Klasė, skirta 14–17 metų mokiniams, kuriems</w:t>
            </w:r>
            <w:r>
              <w:rPr>
                <w:b/>
                <w:bCs/>
                <w:color w:val="000000"/>
                <w:szCs w:val="24"/>
                <w:lang w:eastAsia="lt-LT"/>
              </w:rPr>
              <w:t xml:space="preserve"> </w:t>
            </w:r>
            <w:r>
              <w:rPr>
                <w:color w:val="000000"/>
                <w:szCs w:val="24"/>
                <w:lang w:eastAsia="lt-LT"/>
              </w:rPr>
              <w:t>teisės aktų nustatyta tvarka paskirta vidutinės priežiūros priemonė, mokytis pagal pradinio, pagrindinio, vidurinio ugdymo ir (arba) socialinių įgūdžių ugdymo ir profesinio mokymo programas“.</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46.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211101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Sanatorijos klasė sergantiesiems įvairiomis ligomis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w:t>
            </w:r>
            <w:r>
              <w:rPr>
                <w:color w:val="000000"/>
                <w:spacing w:val="-1"/>
                <w:szCs w:val="24"/>
                <w:lang w:eastAsia="lt-LT"/>
              </w:rPr>
              <w:t xml:space="preserve">mokiniams, sergantiems įvairiomis ligomis (išskyrus įvairiomis tuberkuliozės formomis), </w:t>
            </w:r>
            <w:r>
              <w:rPr>
                <w:color w:val="000000"/>
                <w:szCs w:val="24"/>
                <w:lang w:eastAsia="lt-LT"/>
              </w:rPr>
              <w:t xml:space="preserve">atvykusiems gydytis į medicininės reabilitacijos ir sanatorinio gydymo sveikatos priežiūros įstaigas, mokytis pagal pradinio, pagrindinio ar vidurinio ugdymo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47.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211102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Sanatorijos klasė sergantiesiems įvairiomis tuberkuliozės formomis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w:t>
            </w:r>
            <w:r>
              <w:rPr>
                <w:color w:val="000000"/>
                <w:spacing w:val="-1"/>
                <w:szCs w:val="24"/>
                <w:lang w:eastAsia="lt-LT"/>
              </w:rPr>
              <w:t xml:space="preserve">mokiniams, </w:t>
            </w:r>
            <w:r>
              <w:rPr>
                <w:color w:val="000000"/>
                <w:szCs w:val="24"/>
                <w:lang w:eastAsia="lt-LT"/>
              </w:rPr>
              <w:t xml:space="preserve">sergantiems įvairiomis tuberkuliozės formomis, atvykusiems gydytis į medicininės reabilitacijos ir sanatorinio gydymo sveikatos priežiūros įstaigas, mokytis pagal pradinio, pagrindinio ar vidurinio ugdymo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48.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211201  </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Ligoninės klasė </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mokiniams, atvykusiems gydytis į stacionarinę asmens sveikatos priežiūros įstaigą, teikiančią medicinos pagalbą, mokytis pagal pradinio, pagrindinio ar vidurinio ugdymo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49.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211301 </w:t>
            </w:r>
          </w:p>
        </w:tc>
        <w:tc>
          <w:tcPr>
            <w:tcW w:w="1260"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Nepilnamečių, kuriems skirta kardomoji priemonė – suėmimas, klasė</w:t>
            </w:r>
          </w:p>
        </w:tc>
        <w:tc>
          <w:tcPr>
            <w:tcW w:w="1260" w:type="dxa"/>
            <w:tcBorders>
              <w:top w:val="single" w:sz="4" w:space="0" w:color="000000"/>
              <w:left w:val="single" w:sz="4" w:space="0" w:color="000000"/>
              <w:bottom w:val="single" w:sz="4" w:space="0" w:color="000000"/>
              <w:right w:val="single" w:sz="4" w:space="0" w:color="000000"/>
            </w:tcBorders>
          </w:tcPr>
          <w:p>
            <w:pPr>
              <w:widowControl w:val="0"/>
              <w:rPr>
                <w:color w:val="000000"/>
                <w:szCs w:val="24"/>
                <w:lang w:eastAsia="lt-LT"/>
              </w:rPr>
            </w:pPr>
            <w:r>
              <w:rPr>
                <w:szCs w:val="24"/>
              </w:rPr>
              <w:t>Class for juveniles in pre-trial detention</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Klasė, skirta nepilnamečiams 14–16 metų paaugliams, kuriems skirta kardomoji priemonė – suėmimas, esantiems laisvės atėmimo vietų įstaigoje, mokytis pagal pradinio ar pagrindinio ugdymo programas</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50.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211302 </w:t>
            </w:r>
          </w:p>
        </w:tc>
        <w:tc>
          <w:tcPr>
            <w:tcW w:w="1260"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szCs w:val="24"/>
              </w:rPr>
              <w:t xml:space="preserve">Laisvės atėmimo vietų </w:t>
            </w:r>
            <w:r>
              <w:rPr>
                <w:color w:val="000000"/>
                <w:szCs w:val="24"/>
                <w:lang w:eastAsia="lt-LT"/>
              </w:rPr>
              <w:t xml:space="preserve">nepilnamečių klasė </w:t>
            </w:r>
          </w:p>
        </w:tc>
        <w:tc>
          <w:tcPr>
            <w:tcW w:w="1260" w:type="dxa"/>
            <w:tcBorders>
              <w:top w:val="single" w:sz="4" w:space="0" w:color="000000"/>
              <w:left w:val="single" w:sz="4" w:space="0" w:color="000000"/>
              <w:bottom w:val="single" w:sz="4" w:space="0" w:color="000000"/>
              <w:right w:val="single" w:sz="4" w:space="0" w:color="000000"/>
            </w:tcBorders>
          </w:tcPr>
          <w:p>
            <w:pPr>
              <w:widowControl w:val="0"/>
              <w:rPr>
                <w:color w:val="000000"/>
                <w:szCs w:val="24"/>
                <w:lang w:eastAsia="lt-LT"/>
              </w:rPr>
            </w:pPr>
            <w:r>
              <w:rPr>
                <w:szCs w:val="24"/>
              </w:rPr>
              <w:t>Class for minors in a detention facility</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Klasė, skirta nepilnamečiams 14–16 metų paaugliams, atliekantiems laisvės atėmimo bausmę, esantiems laivės atėmimo vietų įstaigoje, mokytis pagal pradinio ar pagrindinio ugdymo programas</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51.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211303 </w:t>
            </w:r>
          </w:p>
        </w:tc>
        <w:tc>
          <w:tcPr>
            <w:tcW w:w="1260"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Suaugusiųjų, kuriems skirta kardomoji priemonė – suėmimas, klasė </w:t>
            </w:r>
          </w:p>
        </w:tc>
        <w:tc>
          <w:tcPr>
            <w:tcW w:w="1260" w:type="dxa"/>
            <w:tcBorders>
              <w:top w:val="single" w:sz="4" w:space="0" w:color="000000"/>
              <w:left w:val="single" w:sz="4" w:space="0" w:color="000000"/>
              <w:bottom w:val="single" w:sz="4" w:space="0" w:color="000000"/>
              <w:right w:val="single" w:sz="4" w:space="0" w:color="000000"/>
            </w:tcBorders>
          </w:tcPr>
          <w:p>
            <w:pPr>
              <w:widowControl w:val="0"/>
              <w:rPr>
                <w:color w:val="000000"/>
                <w:szCs w:val="24"/>
                <w:lang w:eastAsia="lt-LT"/>
              </w:rPr>
            </w:pPr>
            <w:r>
              <w:rPr>
                <w:szCs w:val="24"/>
              </w:rPr>
              <w:t>Class for adults in pre-trial detention</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Klasė, skirta suaugusiems asmenims ir 16–17 metų asmenims, kuriems skirta kardomoji priemonė – suėmimas, esantiems laisvės atėmimo vietų įstaigoje, mokytis pagal suaugusiųjų pradinio, suaugusiųjų pagrindinio ar suaugusiųjų vidurinio ugdymo programas </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52. </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jc w:val="center"/>
              <w:rPr>
                <w:color w:val="000000"/>
                <w:szCs w:val="24"/>
                <w:lang w:eastAsia="lt-LT"/>
              </w:rPr>
            </w:pPr>
            <w:r>
              <w:rPr>
                <w:color w:val="000000"/>
                <w:szCs w:val="24"/>
                <w:lang w:eastAsia="lt-LT"/>
              </w:rPr>
              <w:t xml:space="preserve">211304 </w:t>
            </w:r>
          </w:p>
        </w:tc>
        <w:tc>
          <w:tcPr>
            <w:tcW w:w="1260"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 xml:space="preserve">Laisvės atėmimo vietų įstaigos suaugusiųjų klasė </w:t>
            </w:r>
          </w:p>
        </w:tc>
        <w:tc>
          <w:tcPr>
            <w:tcW w:w="1260" w:type="dxa"/>
            <w:tcBorders>
              <w:top w:val="single" w:sz="4" w:space="0" w:color="000000"/>
              <w:left w:val="single" w:sz="4" w:space="0" w:color="000000"/>
              <w:bottom w:val="single" w:sz="4" w:space="0" w:color="000000"/>
              <w:right w:val="single" w:sz="4" w:space="0" w:color="000000"/>
            </w:tcBorders>
          </w:tcPr>
          <w:p>
            <w:pPr>
              <w:widowControl w:val="0"/>
              <w:rPr>
                <w:color w:val="000000"/>
                <w:szCs w:val="24"/>
                <w:lang w:eastAsia="lt-LT"/>
              </w:rPr>
            </w:pPr>
            <w:r>
              <w:rPr>
                <w:szCs w:val="24"/>
              </w:rPr>
              <w:t>Class for adults in a correctional facility</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widowControl w:val="0"/>
              <w:rPr>
                <w:color w:val="000000"/>
                <w:szCs w:val="24"/>
                <w:lang w:eastAsia="lt-LT"/>
              </w:rPr>
            </w:pPr>
            <w:r>
              <w:rPr>
                <w:color w:val="000000"/>
                <w:szCs w:val="24"/>
                <w:lang w:eastAsia="lt-LT"/>
              </w:rPr>
              <w:t>Klasė, skirta suaugusiems asmenims,</w:t>
            </w:r>
            <w:r>
              <w:rPr>
                <w:strike/>
                <w:color w:val="000000"/>
                <w:szCs w:val="24"/>
                <w:lang w:eastAsia="lt-LT"/>
              </w:rPr>
              <w:t xml:space="preserve"> </w:t>
            </w:r>
            <w:r>
              <w:rPr>
                <w:color w:val="000000"/>
                <w:szCs w:val="24"/>
                <w:lang w:eastAsia="lt-LT"/>
              </w:rPr>
              <w:t>atliekantiems laisvės atėmimo bausmę, esantiems laisvės atėmimo vietų įstaigoje, mokytis pagal suaugusiųjų pradinio, suaugusiųjų pagrindinio ar suaugusiųjų vidurinio ugdymo programas</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color w:val="000000"/>
                <w:szCs w:val="24"/>
                <w:lang w:eastAsia="lt-LT"/>
              </w:rPr>
            </w:pPr>
            <w:r>
              <w:rPr>
                <w:color w:val="000000"/>
                <w:szCs w:val="24"/>
                <w:lang w:eastAsia="lt-LT"/>
              </w:rPr>
              <w:t>53.</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color w:val="000000"/>
                <w:szCs w:val="24"/>
                <w:lang w:eastAsia="lt-LT"/>
              </w:rPr>
            </w:pPr>
            <w:r>
              <w:rPr>
                <w:color w:val="000000"/>
                <w:szCs w:val="24"/>
                <w:lang w:eastAsia="lt-LT"/>
              </w:rPr>
              <w:t>211305</w:t>
            </w:r>
          </w:p>
        </w:tc>
        <w:tc>
          <w:tcPr>
            <w:tcW w:w="1260"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Nepilnamečių, kuriems skirta kardomoji priemonė – suėmimas, išlyginamoji lietuvių kalbos klasė</w:t>
            </w:r>
          </w:p>
        </w:tc>
        <w:tc>
          <w:tcPr>
            <w:tcW w:w="1260" w:type="dxa"/>
            <w:tcBorders>
              <w:top w:val="single" w:sz="4" w:space="0" w:color="000000"/>
              <w:left w:val="single" w:sz="4" w:space="0" w:color="000000"/>
              <w:bottom w:val="single" w:sz="4" w:space="0" w:color="000000"/>
              <w:right w:val="single" w:sz="4" w:space="0" w:color="000000"/>
            </w:tcBorders>
          </w:tcPr>
          <w:p>
            <w:pPr>
              <w:suppressAutoHyphens/>
              <w:textAlignment w:val="center"/>
              <w:rPr>
                <w:color w:val="000000"/>
                <w:szCs w:val="24"/>
                <w:lang w:eastAsia="lt-LT"/>
              </w:rPr>
            </w:pPr>
            <w:r>
              <w:rPr>
                <w:szCs w:val="24"/>
              </w:rPr>
              <w:t>Lithuanian language remedial class for juveniles in pre-trial detention</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jc w:val="both"/>
            </w:pPr>
            <w:r>
              <w:rPr>
                <w:szCs w:val="24"/>
              </w:rPr>
              <w:t xml:space="preserve">Klasė, skirta nepilnamečiams užsieniečiams, atvykusiems ar grįžusiems gyventi ir dirbti Lietuvos Respublikoje, nemokantiems lietuvių kalbos ir neįgijusiems pradinio, pagrindinio ar vidurinio išsilavinimo, kuriems </w:t>
            </w:r>
            <w:r>
              <w:rPr>
                <w:color w:val="000000"/>
                <w:szCs w:val="24"/>
                <w:lang w:eastAsia="lt-LT"/>
              </w:rPr>
              <w:t>skirta kardomoji priemonė – suėmimas</w:t>
            </w:r>
            <w:r>
              <w:rPr>
                <w:szCs w:val="24"/>
              </w:rPr>
              <w:t xml:space="preserve">, esantiems </w:t>
            </w:r>
            <w:r>
              <w:rPr>
                <w:color w:val="000000"/>
                <w:szCs w:val="24"/>
                <w:lang w:eastAsia="lt-LT"/>
              </w:rPr>
              <w:t>laisvės atėmimo vietų įstaigoje</w:t>
            </w:r>
            <w:r>
              <w:rPr>
                <w:szCs w:val="24"/>
              </w:rPr>
              <w:t>, mokytis lietuvių kalbos ir siekiantiems tęsti mokymąsi pagal bendrojo ugdymo programas</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color w:val="000000"/>
                <w:szCs w:val="24"/>
                <w:lang w:eastAsia="lt-LT"/>
              </w:rPr>
            </w:pPr>
            <w:r>
              <w:rPr>
                <w:color w:val="000000"/>
                <w:szCs w:val="24"/>
                <w:lang w:eastAsia="lt-LT"/>
              </w:rPr>
              <w:t>54.</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color w:val="000000"/>
                <w:szCs w:val="24"/>
                <w:lang w:eastAsia="lt-LT"/>
              </w:rPr>
            </w:pPr>
            <w:r>
              <w:rPr>
                <w:color w:val="000000"/>
                <w:szCs w:val="24"/>
                <w:lang w:eastAsia="lt-LT"/>
              </w:rPr>
              <w:t>211306</w:t>
            </w:r>
          </w:p>
        </w:tc>
        <w:tc>
          <w:tcPr>
            <w:tcW w:w="1260"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szCs w:val="24"/>
              </w:rPr>
              <w:t xml:space="preserve">Laisvės atėmimo vietų </w:t>
            </w:r>
            <w:r>
              <w:rPr>
                <w:color w:val="000000"/>
                <w:szCs w:val="24"/>
                <w:lang w:eastAsia="lt-LT"/>
              </w:rPr>
              <w:t>įstaigos nepilnamečių išlyginamoji lietuvių kalbos klasė</w:t>
            </w:r>
          </w:p>
        </w:tc>
        <w:tc>
          <w:tcPr>
            <w:tcW w:w="1260" w:type="dxa"/>
            <w:tcBorders>
              <w:top w:val="single" w:sz="4" w:space="0" w:color="000000"/>
              <w:left w:val="single" w:sz="4" w:space="0" w:color="000000"/>
              <w:bottom w:val="single" w:sz="4" w:space="0" w:color="000000"/>
              <w:right w:val="single" w:sz="4" w:space="0" w:color="000000"/>
            </w:tcBorders>
          </w:tcPr>
          <w:p>
            <w:pPr>
              <w:suppressAutoHyphens/>
              <w:textAlignment w:val="center"/>
              <w:rPr>
                <w:color w:val="000000"/>
                <w:szCs w:val="24"/>
                <w:lang w:eastAsia="lt-LT"/>
              </w:rPr>
            </w:pPr>
            <w:r>
              <w:rPr>
                <w:szCs w:val="24"/>
              </w:rPr>
              <w:t>Lithuanian language remedial class for juveniles in a correctional facility</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jc w:val="both"/>
            </w:pPr>
            <w:r>
              <w:rPr>
                <w:szCs w:val="24"/>
              </w:rPr>
              <w:t xml:space="preserve">Klasė, skirta nepilnamečiams užsieniečiams, atvykusiems ar grįžusiems gyventi ir dirbti Lietuvos Respublikoje, nemokantiems lietuvių kalbos ir neįgijusiems pradinio, pagrindinio ar vidurinio išsilavinimo, </w:t>
            </w:r>
            <w:r>
              <w:rPr>
                <w:color w:val="000000"/>
                <w:szCs w:val="24"/>
                <w:lang w:eastAsia="lt-LT"/>
              </w:rPr>
              <w:t>atliekantiems laisvės atėmimo bausmę</w:t>
            </w:r>
            <w:r>
              <w:rPr>
                <w:szCs w:val="24"/>
              </w:rPr>
              <w:t>, esantiems laisvės atėmimo vietų įstaigoje, mokytis lietuvių kalbos ir siekiantiems tęsti mokymąsi pagal bendrojo ugdymo programas</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color w:val="000000"/>
                <w:szCs w:val="24"/>
                <w:lang w:eastAsia="lt-LT"/>
              </w:rPr>
            </w:pPr>
            <w:r>
              <w:rPr>
                <w:color w:val="000000"/>
                <w:szCs w:val="24"/>
                <w:lang w:eastAsia="lt-LT"/>
              </w:rPr>
              <w:t>55.</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color w:val="000000"/>
                <w:szCs w:val="24"/>
                <w:lang w:eastAsia="lt-LT"/>
              </w:rPr>
            </w:pPr>
            <w:r>
              <w:rPr>
                <w:color w:val="000000"/>
                <w:szCs w:val="24"/>
                <w:lang w:eastAsia="lt-LT"/>
              </w:rPr>
              <w:t>211307</w:t>
            </w:r>
          </w:p>
        </w:tc>
        <w:tc>
          <w:tcPr>
            <w:tcW w:w="1260"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Suaugusiųjų, kuriems skirta kardomoji priemonė – suėmimas, išlyginamoji lietuvių kalbos klasė</w:t>
            </w:r>
          </w:p>
        </w:tc>
        <w:tc>
          <w:tcPr>
            <w:tcW w:w="1260" w:type="dxa"/>
            <w:tcBorders>
              <w:top w:val="single" w:sz="4" w:space="0" w:color="000000"/>
              <w:left w:val="single" w:sz="4" w:space="0" w:color="000000"/>
              <w:bottom w:val="single" w:sz="4" w:space="0" w:color="000000"/>
              <w:right w:val="single" w:sz="4" w:space="0" w:color="000000"/>
            </w:tcBorders>
          </w:tcPr>
          <w:p>
            <w:pPr>
              <w:suppressAutoHyphens/>
              <w:textAlignment w:val="center"/>
              <w:rPr>
                <w:color w:val="000000"/>
                <w:szCs w:val="24"/>
                <w:lang w:eastAsia="lt-LT"/>
              </w:rPr>
            </w:pPr>
            <w:r>
              <w:rPr>
                <w:szCs w:val="24"/>
              </w:rPr>
              <w:t>Lithuanian language remedial class for adults in pre-trial detention</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jc w:val="both"/>
            </w:pPr>
            <w:r>
              <w:rPr>
                <w:szCs w:val="24"/>
              </w:rPr>
              <w:t xml:space="preserve">Klasė, skirta suaugusiems užsieniečiams, atvykusiems ar grįžusiems gyventi ir dirbti Lietuvos Respublikoje, nemokantiems lietuvių kalbos ir neįgijusiems pradinio, pagrindinio ar vidurinio išsilavinimo, kuriems </w:t>
            </w:r>
            <w:r>
              <w:rPr>
                <w:color w:val="000000"/>
                <w:szCs w:val="24"/>
                <w:lang w:eastAsia="lt-LT"/>
              </w:rPr>
              <w:t>skirta kardomoji priemonė – suėmimas</w:t>
            </w:r>
            <w:r>
              <w:rPr>
                <w:szCs w:val="24"/>
              </w:rPr>
              <w:t xml:space="preserve">, esantiems </w:t>
            </w:r>
            <w:r>
              <w:rPr>
                <w:color w:val="000000"/>
                <w:szCs w:val="24"/>
                <w:lang w:eastAsia="lt-LT"/>
              </w:rPr>
              <w:t>laisvės atėmimo vietų įstaigoje</w:t>
            </w:r>
            <w:r>
              <w:rPr>
                <w:szCs w:val="24"/>
              </w:rPr>
              <w:t>, mokytis lietuvių kalbos ir siekiantiems tęsti mokymąsi pagal bendrojo ugdymo programas</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56.</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color w:val="000000"/>
                <w:szCs w:val="24"/>
                <w:lang w:eastAsia="lt-LT"/>
              </w:rPr>
            </w:pPr>
            <w:r>
              <w:rPr>
                <w:color w:val="000000"/>
                <w:szCs w:val="24"/>
                <w:lang w:eastAsia="lt-LT"/>
              </w:rPr>
              <w:t>211308</w:t>
            </w:r>
          </w:p>
        </w:tc>
        <w:tc>
          <w:tcPr>
            <w:tcW w:w="1260"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Laisvės atėmimo vietų įstaigos suaugusiųjų išlyginamoji lietuvių kalbos klasė</w:t>
            </w:r>
          </w:p>
        </w:tc>
        <w:tc>
          <w:tcPr>
            <w:tcW w:w="1260" w:type="dxa"/>
            <w:tcBorders>
              <w:top w:val="single" w:sz="4" w:space="0" w:color="000000"/>
              <w:left w:val="single" w:sz="4" w:space="0" w:color="000000"/>
              <w:bottom w:val="single" w:sz="4" w:space="0" w:color="000000"/>
              <w:right w:val="single" w:sz="4" w:space="0" w:color="000000"/>
            </w:tcBorders>
          </w:tcPr>
          <w:p>
            <w:pPr>
              <w:suppressAutoHyphens/>
              <w:textAlignment w:val="center"/>
              <w:rPr>
                <w:color w:val="000000"/>
                <w:szCs w:val="24"/>
                <w:lang w:eastAsia="lt-LT"/>
              </w:rPr>
            </w:pPr>
            <w:r>
              <w:rPr>
                <w:szCs w:val="24"/>
              </w:rPr>
              <w:t>Lithuanian language remedial class for adults in a correctional facility</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jc w:val="both"/>
            </w:pPr>
            <w:r>
              <w:rPr>
                <w:szCs w:val="24"/>
              </w:rPr>
              <w:t xml:space="preserve">Klasė, skirta suaugusiems užsieniečiams, atvykusiems ar grįžusiems gyventi ir dirbti Lietuvos Respublikoje, nemokantiems lietuvių kalbos ir neįgijusiems pradinio, pagrindinio ar vidurinio išsilavinimo, </w:t>
            </w:r>
            <w:r>
              <w:rPr>
                <w:color w:val="000000"/>
                <w:szCs w:val="24"/>
                <w:lang w:eastAsia="lt-LT"/>
              </w:rPr>
              <w:t>atliekantiems laisvės atėmimo bausmę</w:t>
            </w:r>
            <w:r>
              <w:rPr>
                <w:szCs w:val="24"/>
              </w:rPr>
              <w:t xml:space="preserve">, esantiems </w:t>
            </w:r>
            <w:r>
              <w:rPr>
                <w:color w:val="000000"/>
                <w:szCs w:val="24"/>
                <w:lang w:eastAsia="lt-LT"/>
              </w:rPr>
              <w:t xml:space="preserve">laisvės atėmimo vietų </w:t>
            </w:r>
            <w:r>
              <w:rPr>
                <w:szCs w:val="24"/>
              </w:rPr>
              <w:t>įstaigoje, mokytis lietuvių kalbos ir siekiantiems tęsti mokymąsi pagal bendrojo ugdymo programas</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57</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color w:val="000000"/>
                <w:szCs w:val="24"/>
                <w:lang w:eastAsia="lt-LT"/>
              </w:rPr>
            </w:pPr>
            <w:r>
              <w:rPr>
                <w:color w:val="000000"/>
                <w:szCs w:val="24"/>
                <w:lang w:eastAsia="lt-LT"/>
              </w:rPr>
              <w:t>110903</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Jėzuitiška klasė</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jc w:val="both"/>
            </w:pPr>
            <w:r>
              <w:t>Klasė (nevalstybinėje mokykloje), skirta mokiniams ugdyti(is) pagal pradinio, pagrindinio ar vidurinio ugdymo bendrąsias programas ir mokyklos parengtas pradinio, pagrindinio ar vidurinio ugdymo dalykų, vertybių ugdymo ar kitas programas, kai ugdymas grindžiamas Jėzuitų pedagogika grįsto ugdymo Lietuvoje samprata, patvirtinta Lietuvos Respublikos švietimo ir mokslo ministro 2008 m. gruodžio 2 d. įsakymu Nr. ISAK-3236 „Dėl Jėzuitų pedagogika grįsto ugdymo Lietuvoje sampratos patvirtinimo“</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58</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color w:val="000000"/>
                <w:szCs w:val="24"/>
                <w:lang w:eastAsia="lt-LT"/>
              </w:rPr>
            </w:pPr>
            <w:r>
              <w:rPr>
                <w:color w:val="000000"/>
                <w:szCs w:val="24"/>
                <w:lang w:eastAsia="lt-LT"/>
              </w:rPr>
              <w:t>110904</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Jėzuitiško ugdymo elementų klasė</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jc w:val="both"/>
            </w:pPr>
            <w:r>
              <w:t xml:space="preserve">Klasė (savivaldybės ar valstybinėje mokykloje (viešojoje įstaigoje), skirta mokiniams ugdyti(is) pagal pradinio, pagrindinio ar vidurinio bendrąsias ugdymo programas ir mokyklos parengtas pradinio, pagrindinio ar vidurinio ugdymo dalykų,  vertybių ugdymo ar kitas  programas, kai ugdymas grindžiamas Jėzuitų pedagogika grįsto ugdymo Lietuvoje sampratos atskirais elementais</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59</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color w:val="000000"/>
                <w:szCs w:val="24"/>
                <w:lang w:eastAsia="lt-LT"/>
              </w:rPr>
            </w:pPr>
            <w:r>
              <w:rPr>
                <w:color w:val="000000"/>
                <w:szCs w:val="24"/>
                <w:lang w:eastAsia="lt-LT"/>
              </w:rPr>
              <w:t>111201</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Ekologijos ir aplinkos technologijų ugdymo klasė</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jc w:val="both"/>
            </w:pPr>
            <w:r>
              <w:t xml:space="preserve">Klasė (nevalstybinėje mokykloje), skirta mokiniams  ugdyti(is)  pagal pradinio, pagrindinio ar vidurinio ugdymo bendrąsias programas ir mokyklos parengtas pradinio, pagrindinio ar vidurinio ugdymo dalykų programas, kai ugdymas grindžiamas Ekologijos ir aplinkos technologijų ugdymo samprata, patvirtinta Lietuvos Respublikos švietimo ir mokslo ministro 2015 m. balandžio 23 d. įsakymu Nr. V-379 „Dėl Ekologijos ir aplinkos technologijų ugdymo sampratos tvirtinimo“</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60</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color w:val="000000"/>
                <w:szCs w:val="24"/>
                <w:lang w:eastAsia="lt-LT"/>
              </w:rPr>
            </w:pPr>
            <w:r>
              <w:rPr>
                <w:color w:val="000000"/>
                <w:szCs w:val="24"/>
                <w:lang w:eastAsia="lt-LT"/>
              </w:rPr>
              <w:t>111202</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 xml:space="preserve">Ekologijos ir aplinkos technologijų  ugdymo  elementų klasė</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jc w:val="both"/>
            </w:pPr>
            <w:r>
              <w:t xml:space="preserve">Klasė (savivaldybės ar valstybinėje mokykloje (viešojoje įstaigoje), skirta mokiniams  ugdyti(is)  pagal pradinio, pagrindinio ar vidurinio ugdymo bendrąsias programas ir mokyklos parengtas pradinio, pagrindinio ar vidurinio ugdymo dalykų programas, kai ugdymas grindžiamas Ekologijos ir aplinkos technologijų ugdymo sampratos atskirais elementais</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61</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color w:val="000000"/>
                <w:szCs w:val="24"/>
                <w:lang w:eastAsia="lt-LT"/>
              </w:rPr>
            </w:pPr>
            <w:r>
              <w:rPr>
                <w:color w:val="000000"/>
                <w:szCs w:val="24"/>
                <w:lang w:eastAsia="lt-LT"/>
              </w:rPr>
              <w:t>111301</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Klasikinio ugdymo klasė</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jc w:val="both"/>
            </w:pPr>
            <w:r>
              <w:t xml:space="preserve">Klasė (nevalstybinėje mokykloje), skirta mokiniams  ugdyti(is) pagal pradinio, pagrindinio ar vidurinio ugdymo bendrąsias programas ir mokyklos parengtas pradinio, pagrindinio ar vidurinio ugdymo dalykų programas, kai ugdymas grindžiamas Klasikinio ugdymo samprata, patvirtinta Lietuvos Respublikos švietimo ir mokslo ministro 2015 m. birželio 17 d. įsakymu Nr. V-638 „Dėl Klasikinio ugdymo sampratos tvirtinimo“</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62</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color w:val="000000"/>
                <w:szCs w:val="24"/>
                <w:lang w:eastAsia="lt-LT"/>
              </w:rPr>
            </w:pPr>
            <w:r>
              <w:rPr>
                <w:color w:val="000000"/>
                <w:szCs w:val="24"/>
                <w:lang w:eastAsia="lt-LT"/>
              </w:rPr>
              <w:t>111301</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Klasikinio ugdymo elementų klasė</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jc w:val="both"/>
            </w:pPr>
          </w:p>
          <w:p>
            <w:pPr>
              <w:jc w:val="both"/>
            </w:pPr>
            <w:r>
              <w:t xml:space="preserve">Klasė (savivaldybės ar valstybinėje mokykloje (viešojoje įstaigoje), skirta mokiniams  ugdyti(is)  pagal pradinio, pagrindinio ar vidurinio ugdymo bendrąsias programas ir mokyklos parengtas pradinio, pagrindinio ar vidurinio ugdymo dalykų programas, kai ugdymas grindžiamas Klasikinio ugdymo sampratos atskirais elementais</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63</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color w:val="000000"/>
                <w:szCs w:val="24"/>
                <w:lang w:eastAsia="lt-LT"/>
              </w:rPr>
            </w:pPr>
            <w:r>
              <w:rPr>
                <w:color w:val="000000"/>
                <w:szCs w:val="24"/>
                <w:lang w:eastAsia="lt-LT"/>
              </w:rPr>
              <w:t>111401</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Novatoriško verslumo ugdymo klasė</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jc w:val="both"/>
            </w:pPr>
            <w:r>
              <w:t xml:space="preserve">Klasė (nevalstybinėje mokykloje), skirta mokiniams  ugdyti(is)   pagal pradinio, pagrindinio ar vidurinio ugdymo bendrąsias programas ir novatorišką verslumo ugdymo turinį, kai ugdymas grindžiamas  Novatoriško verslumo ugdymo samprata, patvirtinta Lietuvos Respublikos švietimo ir mokslo ministro 2016 m. liepos 19 d. įsakymu Nr. V-655 „Dėl Novatoriško verslumo ugdymo sampratos tvirtinimo“</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64</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color w:val="000000"/>
                <w:szCs w:val="24"/>
                <w:lang w:eastAsia="lt-LT"/>
              </w:rPr>
            </w:pPr>
            <w:r>
              <w:rPr>
                <w:color w:val="000000"/>
                <w:szCs w:val="24"/>
                <w:lang w:eastAsia="lt-LT"/>
              </w:rPr>
              <w:t>111402</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Novatoriško verslumo</w:t>
            </w:r>
          </w:p>
          <w:p>
            <w:pPr>
              <w:suppressAutoHyphens/>
              <w:textAlignment w:val="center"/>
              <w:rPr>
                <w:color w:val="000000"/>
                <w:szCs w:val="24"/>
                <w:lang w:eastAsia="lt-LT"/>
              </w:rPr>
            </w:pPr>
            <w:r>
              <w:rPr>
                <w:color w:val="000000"/>
                <w:szCs w:val="24"/>
                <w:lang w:eastAsia="lt-LT"/>
              </w:rPr>
              <w:t>ugdymo elementų klasė</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jc w:val="both"/>
            </w:pPr>
            <w:r>
              <w:t xml:space="preserve">Klasė (savivaldybės ar valstybinėje mokykloje (viešojoje įstaigoje), skirta mokiniams  ugdyti(is)  pagal pradinio, pagrindinio ar vidurinio ugdymo bendrąsias programas ir novatorišką verslumo ugdymo turinį, kai ugdymas grindžiamas  Novatoriško verslumo ugdymo sampratos atskirais elementais</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65</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color w:val="000000"/>
                <w:szCs w:val="24"/>
                <w:lang w:eastAsia="lt-LT"/>
              </w:rPr>
            </w:pPr>
            <w:r>
              <w:rPr>
                <w:color w:val="000000"/>
                <w:szCs w:val="24"/>
                <w:lang w:eastAsia="lt-LT"/>
              </w:rPr>
              <w:t>111501</w:t>
            </w:r>
          </w:p>
          <w:p>
            <w:pPr>
              <w:suppressAutoHyphens/>
              <w:jc w:val="center"/>
              <w:textAlignment w:val="center"/>
              <w:rPr>
                <w:color w:val="000000"/>
                <w:szCs w:val="24"/>
                <w:lang w:eastAsia="lt-LT"/>
              </w:rPr>
            </w:pP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Sporto ir sveikatos ugdymo klasė</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jc w:val="both"/>
            </w:pPr>
            <w:r>
              <w:t xml:space="preserve">Klasė (nevalstybinėje mokykloje), skirta mokiniams  ugdyti(is)  pagal pradinio,  pagrindinio ar vidurinio ugdymo bendrąsias programas ir mokyklos parengtas pradinio, pagrindinio ar vidurinio ugdymo dalykų  programas, kai ugdymas grindžiamas Sporto ir sveikatos ugdymo samprata, patvirtinta Lietuvos Respublikos švietimo ir mokslo ministro 2014 m. gruodžio 18 d. įsakymu Nr. V-1228 „Dėl Sporto ir sveikatos ugdymo sampratos tvirtinimo“</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66</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color w:val="000000"/>
                <w:szCs w:val="24"/>
                <w:lang w:eastAsia="lt-LT"/>
              </w:rPr>
            </w:pPr>
            <w:r>
              <w:rPr>
                <w:color w:val="000000"/>
                <w:szCs w:val="24"/>
                <w:lang w:eastAsia="lt-LT"/>
              </w:rPr>
              <w:t>111502</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color w:val="000000"/>
                <w:szCs w:val="24"/>
                <w:lang w:eastAsia="lt-LT"/>
              </w:rPr>
            </w:pPr>
            <w:r>
              <w:rPr>
                <w:color w:val="000000"/>
                <w:szCs w:val="24"/>
                <w:lang w:eastAsia="lt-LT"/>
              </w:rPr>
              <w:t>Sporto ir sveikatos ugdymo elementų</w:t>
            </w:r>
          </w:p>
          <w:p>
            <w:pPr>
              <w:suppressAutoHyphens/>
              <w:textAlignment w:val="center"/>
              <w:rPr>
                <w:color w:val="000000"/>
                <w:szCs w:val="24"/>
                <w:lang w:eastAsia="lt-LT"/>
              </w:rPr>
            </w:pPr>
            <w:r>
              <w:rPr>
                <w:color w:val="000000"/>
                <w:szCs w:val="24"/>
                <w:lang w:eastAsia="lt-LT"/>
              </w:rPr>
              <w:t>klasė</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jc w:val="both"/>
            </w:pPr>
            <w:r>
              <w:t xml:space="preserve">Klasė (savivaldybės ar valstybinėje mokykloje (viešojoje įstaigoje), skirta mokiniams  ugdyti(is)  pagal pradinio,  pagrindinio ar vidurinio ugdymo bendrąsias programas ir mokyklos parengtas pradinio, pagrindinio ar vidurinio ugdymo dalykų  programas, kai ugdymas grindžiamas Sporto ir sveikatos ugdymo sampratos atskirais elementais</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pPr>
            <w:r>
              <w:rPr>
                <w:szCs w:val="24"/>
                <w:lang w:eastAsia="lt-LT"/>
              </w:rPr>
              <w:t>67.</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szCs w:val="24"/>
                <w:lang w:eastAsia="lt-LT"/>
              </w:rPr>
            </w:pPr>
            <w:r>
              <w:rPr>
                <w:szCs w:val="24"/>
                <w:lang w:eastAsia="lt-LT"/>
              </w:rPr>
              <w:t>111003</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szCs w:val="24"/>
                <w:lang w:eastAsia="lt-LT"/>
              </w:rPr>
            </w:pPr>
            <w:r>
              <w:rPr>
                <w:szCs w:val="24"/>
                <w:lang w:eastAsia="lt-LT"/>
              </w:rPr>
              <w:t>Jūrų kadetų klasė</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both"/>
              <w:textAlignment w:val="baseline"/>
              <w:rPr>
                <w:color w:val="000000"/>
                <w:szCs w:val="24"/>
                <w:lang w:eastAsia="lt-LT"/>
              </w:rPr>
            </w:pPr>
            <w:r>
              <w:rPr>
                <w:color w:val="000000"/>
                <w:szCs w:val="24"/>
                <w:lang w:eastAsia="lt-LT"/>
              </w:rPr>
              <w:t>Klasė (nevalstybinėje mokykloje), skirta mokiniams mokytis pagal bendrąją pagrindinio ar bendrąją vidurinio ugdymo programas, mokyklos parengtą Jūreivystės, laivybos ir karybos ugdymo pagrindų programą, kai ugdymas grindžiamas Jūrų kadetų ugdymo samprata, patvirtinta Lietuvos Respublikos švietimo ir mokslo ministro 2018 m. lapkričio 15 d. įsakymu Nr. V-902 „Dėl Jūrų kadetų ugdymo sampratos patvirtinimo“ (toliau – Jūrų kadetų ugdymo samprata)</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pPr>
            <w:r>
              <w:rPr>
                <w:szCs w:val="24"/>
                <w:lang w:eastAsia="lt-LT"/>
              </w:rPr>
              <w:t>68.</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szCs w:val="24"/>
                <w:lang w:eastAsia="lt-LT"/>
              </w:rPr>
            </w:pPr>
            <w:r>
              <w:rPr>
                <w:szCs w:val="24"/>
                <w:lang w:eastAsia="lt-LT"/>
              </w:rPr>
              <w:t>111004</w:t>
            </w:r>
          </w:p>
        </w:tc>
        <w:tc>
          <w:tcPr>
            <w:tcW w:w="252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textAlignment w:val="center"/>
              <w:rPr>
                <w:szCs w:val="24"/>
                <w:lang w:eastAsia="lt-LT"/>
              </w:rPr>
            </w:pPr>
            <w:r>
              <w:rPr>
                <w:szCs w:val="24"/>
                <w:lang w:eastAsia="lt-LT"/>
              </w:rPr>
              <w:t>Jūrų kadetų elementų klasė</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both"/>
              <w:textAlignment w:val="baseline"/>
            </w:pPr>
            <w:r>
              <w:rPr>
                <w:color w:val="000000"/>
                <w:szCs w:val="24"/>
                <w:lang w:eastAsia="lt-LT"/>
              </w:rPr>
              <w:t>Klasė (savivaldybės ar valstybinėje mokykloje (viešojoje įstaigoje)), skirta mokiniams mokytis pagal bendrąją pagrindinio ar bendrąją vidurinio ugdymo programas, mokyklos parengtą Jūreivystės, laivybos ir karybos ugdymo pagrindų programą, kai ugdymas grindžiamas Jūrų kadetų ugdymo sampratos atskirais elementais</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szCs w:val="24"/>
                <w:lang w:eastAsia="lt-LT"/>
              </w:rPr>
            </w:pPr>
            <w:r>
              <w:rPr>
                <w:szCs w:val="24"/>
                <w:lang w:eastAsia="lt-LT"/>
              </w:rPr>
              <w:t>69.</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szCs w:val="24"/>
                <w:lang w:eastAsia="lt-LT"/>
              </w:rPr>
            </w:pPr>
            <w:r>
              <w:rPr>
                <w:szCs w:val="24"/>
              </w:rPr>
              <w:t>111005</w:t>
            </w:r>
          </w:p>
        </w:tc>
        <w:tc>
          <w:tcPr>
            <w:tcW w:w="1085" w:type="dxa"/>
            <w:tcBorders>
              <w:top w:val="single" w:sz="4" w:space="0" w:color="000000"/>
              <w:left w:val="single" w:sz="4" w:space="0" w:color="000000"/>
              <w:bottom w:val="single" w:sz="4" w:space="0" w:color="000000"/>
              <w:right w:val="single" w:sz="4" w:space="0" w:color="auto"/>
            </w:tcBorders>
            <w:tcMar>
              <w:top w:w="57" w:type="dxa"/>
              <w:left w:w="57" w:type="dxa"/>
              <w:bottom w:w="57" w:type="dxa"/>
              <w:right w:w="57" w:type="dxa"/>
            </w:tcMar>
          </w:tcPr>
          <w:p>
            <w:pPr>
              <w:rPr>
                <w:szCs w:val="24"/>
              </w:rPr>
            </w:pPr>
            <w:r>
              <w:rPr>
                <w:szCs w:val="24"/>
                <w:lang w:eastAsia="lt-LT"/>
              </w:rPr>
              <w:t>Kadetų ugdymo klasė</w:t>
            </w:r>
          </w:p>
        </w:tc>
        <w:tc>
          <w:tcPr>
            <w:tcW w:w="1435" w:type="dxa"/>
            <w:gridSpan w:val="2"/>
            <w:tcBorders>
              <w:top w:val="single" w:sz="4" w:space="0" w:color="000000"/>
              <w:left w:val="single" w:sz="4" w:space="0" w:color="auto"/>
              <w:bottom w:val="single" w:sz="4" w:space="0" w:color="000000"/>
              <w:right w:val="single" w:sz="4" w:space="0" w:color="000000"/>
            </w:tcBorders>
          </w:tcPr>
          <w:p>
            <w:pPr>
              <w:suppressAutoHyphens/>
              <w:textAlignment w:val="center"/>
              <w:rPr>
                <w:szCs w:val="24"/>
                <w:lang w:eastAsia="lt-LT"/>
              </w:rPr>
            </w:pPr>
            <w:r>
              <w:rPr>
                <w:bCs/>
                <w:szCs w:val="24"/>
              </w:rPr>
              <w:t>Cadet training class</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both"/>
              <w:textAlignment w:val="baseline"/>
              <w:rPr>
                <w:color w:val="000000"/>
                <w:szCs w:val="24"/>
                <w:lang w:eastAsia="lt-LT"/>
              </w:rPr>
            </w:pPr>
            <w:r>
              <w:rPr>
                <w:szCs w:val="24"/>
                <w:lang w:eastAsia="lt-LT"/>
              </w:rPr>
              <w:t>Klasė (savivaldybės ar valstybinėje mokykloje), skirta mokiniams mokytis pagal bendrąją pradinio ugdymo ar pagrindinio ugdymo ar vidurinio ugdymo programą ir kadetų ugdymo programą, kuri yra suderinta su Lietuvos Respublikos krašto apsaugos ministru ir patvirtinta Lietuvos Respublikos švietimo, mokslo ir sporto ministro</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szCs w:val="24"/>
                <w:lang w:eastAsia="lt-LT"/>
              </w:rPr>
            </w:pPr>
            <w:r>
              <w:rPr>
                <w:szCs w:val="24"/>
                <w:lang w:eastAsia="lt-LT"/>
              </w:rPr>
              <w:t>70.</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szCs w:val="24"/>
              </w:rPr>
            </w:pPr>
            <w:r>
              <w:rPr>
                <w:bCs/>
                <w:szCs w:val="24"/>
              </w:rPr>
              <w:t>212001</w:t>
            </w:r>
          </w:p>
        </w:tc>
        <w:tc>
          <w:tcPr>
            <w:tcW w:w="1085" w:type="dxa"/>
            <w:tcBorders>
              <w:top w:val="single" w:sz="4" w:space="0" w:color="000000"/>
              <w:left w:val="single" w:sz="4" w:space="0" w:color="000000"/>
              <w:bottom w:val="single" w:sz="4" w:space="0" w:color="000000"/>
              <w:right w:val="single" w:sz="4" w:space="0" w:color="auto"/>
            </w:tcBorders>
            <w:tcMar>
              <w:top w:w="57" w:type="dxa"/>
              <w:left w:w="57" w:type="dxa"/>
              <w:bottom w:w="57" w:type="dxa"/>
              <w:right w:w="57" w:type="dxa"/>
            </w:tcMar>
          </w:tcPr>
          <w:p>
            <w:pPr>
              <w:rPr>
                <w:szCs w:val="24"/>
                <w:lang w:eastAsia="lt-LT"/>
              </w:rPr>
            </w:pPr>
            <w:r>
              <w:rPr>
                <w:szCs w:val="24"/>
                <w:lang w:eastAsia="lt-LT"/>
              </w:rPr>
              <w:t xml:space="preserve">Sportininkų  klasė</w:t>
            </w:r>
          </w:p>
        </w:tc>
        <w:tc>
          <w:tcPr>
            <w:tcW w:w="1435" w:type="dxa"/>
            <w:gridSpan w:val="2"/>
            <w:tcBorders>
              <w:top w:val="single" w:sz="4" w:space="0" w:color="000000"/>
              <w:left w:val="single" w:sz="4" w:space="0" w:color="auto"/>
              <w:bottom w:val="single" w:sz="4" w:space="0" w:color="000000"/>
              <w:right w:val="single" w:sz="4" w:space="0" w:color="000000"/>
            </w:tcBorders>
          </w:tcPr>
          <w:p>
            <w:pPr>
              <w:suppressAutoHyphens/>
              <w:textAlignment w:val="center"/>
              <w:rPr>
                <w:bCs/>
                <w:szCs w:val="24"/>
              </w:rPr>
            </w:pPr>
            <w:r>
              <w:rPr>
                <w:bCs/>
                <w:szCs w:val="24"/>
              </w:rPr>
              <w:t>Class of athletes</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both"/>
              <w:textAlignment w:val="baseline"/>
              <w:rPr>
                <w:szCs w:val="24"/>
                <w:lang w:eastAsia="lt-LT"/>
              </w:rPr>
            </w:pPr>
            <w:r>
              <w:rPr>
                <w:color w:val="000000"/>
                <w:szCs w:val="24"/>
                <w:lang w:eastAsia="lt-LT"/>
              </w:rPr>
              <w:t>Klasė, kurioje yra sportininkų, rengiamų pagal paralimpiniam, regos, klausos, judėjimo ar intelekto negalią turinčių asmenų sporto judėjimams Lietuvoje vadovaujančių nevyriausybinių organizacijų ar sporto šakų federacijų įgyvendinamas sporto programas, skirta mokytis pagal pagrindinio ar vidurinio ugdymo bendrąsias programas bendrojoje bendrojo ugdymo mokykloje.</w:t>
            </w:r>
          </w:p>
        </w:tc>
      </w:tr>
      <w:tr>
        <w:trPr>
          <w:trHeight w:val="60"/>
        </w:trPr>
        <w:tc>
          <w:tcPr>
            <w:tcW w:w="66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szCs w:val="24"/>
                <w:lang w:eastAsia="lt-LT"/>
              </w:rPr>
            </w:pPr>
            <w:r>
              <w:rPr>
                <w:szCs w:val="24"/>
                <w:lang w:eastAsia="lt-LT"/>
              </w:rPr>
              <w:t>71.</w:t>
            </w:r>
          </w:p>
        </w:tc>
        <w:tc>
          <w:tcPr>
            <w:tcW w:w="107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center"/>
              <w:textAlignment w:val="center"/>
              <w:rPr>
                <w:bCs/>
                <w:szCs w:val="24"/>
              </w:rPr>
            </w:pPr>
            <w:r>
              <w:rPr>
                <w:szCs w:val="24"/>
              </w:rPr>
              <w:t>210106</w:t>
            </w:r>
          </w:p>
        </w:tc>
        <w:tc>
          <w:tcPr>
            <w:tcW w:w="1085" w:type="dxa"/>
            <w:tcBorders>
              <w:top w:val="single" w:sz="4" w:space="0" w:color="000000"/>
              <w:left w:val="single" w:sz="4" w:space="0" w:color="000000"/>
              <w:bottom w:val="single" w:sz="4" w:space="0" w:color="000000"/>
              <w:right w:val="single" w:sz="4" w:space="0" w:color="auto"/>
            </w:tcBorders>
            <w:tcMar>
              <w:top w:w="57" w:type="dxa"/>
              <w:left w:w="57" w:type="dxa"/>
              <w:bottom w:w="57" w:type="dxa"/>
              <w:right w:w="57" w:type="dxa"/>
            </w:tcMar>
          </w:tcPr>
          <w:p>
            <w:pPr>
              <w:rPr>
                <w:szCs w:val="24"/>
                <w:lang w:eastAsia="lt-LT"/>
              </w:rPr>
            </w:pPr>
            <w:r>
              <w:rPr>
                <w:szCs w:val="24"/>
              </w:rPr>
              <w:t>Klasikinė klasė</w:t>
            </w:r>
          </w:p>
        </w:tc>
        <w:tc>
          <w:tcPr>
            <w:tcW w:w="1435" w:type="dxa"/>
            <w:gridSpan w:val="2"/>
            <w:tcBorders>
              <w:top w:val="single" w:sz="4" w:space="0" w:color="000000"/>
              <w:left w:val="single" w:sz="4" w:space="0" w:color="auto"/>
              <w:bottom w:val="single" w:sz="4" w:space="0" w:color="000000"/>
              <w:right w:val="single" w:sz="4" w:space="0" w:color="000000"/>
            </w:tcBorders>
          </w:tcPr>
          <w:p>
            <w:pPr>
              <w:suppressAutoHyphens/>
              <w:textAlignment w:val="center"/>
              <w:rPr>
                <w:bCs/>
                <w:szCs w:val="24"/>
              </w:rPr>
            </w:pPr>
            <w:r>
              <w:rPr>
                <w:bCs/>
                <w:szCs w:val="24"/>
              </w:rPr>
              <w:t>classical class</w:t>
            </w:r>
          </w:p>
        </w:tc>
        <w:tc>
          <w:tcPr>
            <w:tcW w:w="481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pPr>
              <w:suppressAutoHyphens/>
              <w:jc w:val="both"/>
              <w:textAlignment w:val="baseline"/>
              <w:rPr>
                <w:color w:val="000000"/>
                <w:szCs w:val="24"/>
                <w:lang w:eastAsia="lt-LT"/>
              </w:rPr>
            </w:pPr>
            <w:r>
              <w:rPr>
                <w:color w:val="000000"/>
                <w:szCs w:val="24"/>
                <w:lang w:eastAsia="lt-LT"/>
              </w:rPr>
              <w:t xml:space="preserve">Klasė, skirta mokiniams, turintiems  išskirtinių gabumų klasikinėms kalboms (senovės graikų, lotynų), filosofijai, menui, mokytis pagal specializuoto ugdymo krypties programas (pradinio, pagrindinio ir akredituotą vidurinio ugdymo kartu su klasikiniu ugdymu programas).</w:t>
            </w:r>
          </w:p>
        </w:tc>
      </w:tr>
    </w:tbl>
    <w:p>
      <w:pPr>
        <w:widowControl w:val="0"/>
        <w:ind w:firstLine="567"/>
        <w:jc w:val="both"/>
        <w:rPr>
          <w:color w:val="000000"/>
          <w:szCs w:val="24"/>
          <w:lang w:eastAsia="lt-LT"/>
        </w:rPr>
      </w:pPr>
    </w:p>
    <w:p>
      <w:pPr>
        <w:widowControl w:val="0"/>
        <w:ind w:firstLine="567"/>
        <w:jc w:val="both"/>
        <w:rPr>
          <w:color w:val="000000"/>
          <w:szCs w:val="24"/>
          <w:lang w:eastAsia="lt-LT"/>
        </w:rPr>
      </w:pPr>
      <w:r>
        <w:rPr>
          <w:color w:val="000000"/>
          <w:szCs w:val="24"/>
          <w:lang w:eastAsia="lt-LT"/>
        </w:rPr>
        <w:t>Pastaba.</w:t>
      </w:r>
    </w:p>
    <w:p>
      <w:pPr>
        <w:widowControl w:val="0"/>
        <w:ind w:firstLine="567"/>
        <w:jc w:val="both"/>
        <w:rPr>
          <w:color w:val="000000"/>
          <w:szCs w:val="24"/>
          <w:lang w:eastAsia="lt-LT"/>
        </w:rPr>
      </w:pPr>
      <w:r>
        <w:rPr>
          <w:color w:val="000000"/>
          <w:szCs w:val="24"/>
          <w:lang w:eastAsia="lt-LT"/>
        </w:rPr>
        <w:t>Kodo struktūra: pirmas ir antras skaitmuo nurodo klasės tipą, trečias ir ketvirtas skaitmuo – klasių pogrupį, penktas ir šeštas skaitmuo – klasių paskirčių eiliškumą.</w:t>
      </w:r>
    </w:p>
    <w:p>
      <w:pPr>
        <w:widowControl w:val="0"/>
        <w:jc w:val="center"/>
        <w:rPr>
          <w:color w:val="000000"/>
          <w:szCs w:val="24"/>
          <w:lang w:eastAsia="lt-LT"/>
        </w:rPr>
      </w:pPr>
      <w:r>
        <w:rPr>
          <w:color w:val="000000"/>
          <w:szCs w:val="24"/>
          <w:lang w:eastAsia="lt-LT"/>
        </w:rPr>
        <w:t>_________________</w:t>
      </w:r>
    </w:p>
    <w:p>
      <w:pPr>
        <w:pStyle w:val="PlainText"/>
        <w:rPr>
          <w:rFonts w:ascii="Times New Roman" w:eastAsia="MS Mincho" w:hAnsi="Times New Roman"/>
          <w:sz w:val="20"/>
          <w:i/>
          <w:iCs/>
        </w:rPr>
      </w:pPr>
      <w:r>
        <w:rPr>
          <w:rFonts w:ascii="Times New Roman" w:eastAsia="MS Mincho" w:hAnsi="Times New Roman"/>
          <w:sz w:val="20"/>
          <w:i/>
          <w:iCs/>
        </w:rPr>
        <w:t>Priedo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bdb7f6042fa11e4b328ee8724e3e13c">
        <w:r w:rsidRPr="00532B9F">
          <w:rPr>
            <w:rFonts w:ascii="Times New Roman" w:eastAsia="MS Mincho" w:hAnsi="Times New Roman"/>
            <w:sz w:val="20"/>
            <w:i/>
            <w:iCs/>
            <w:color w:val="0000FF" w:themeColor="hyperlink"/>
            <w:u w:val="single"/>
          </w:rPr>
          <w:t>V-827</w:t>
        </w:r>
      </w:fldSimple>
      <w:r>
        <w:rPr>
          <w:rFonts w:ascii="Times New Roman" w:eastAsia="MS Mincho" w:hAnsi="Times New Roman"/>
          <w:sz w:val="20"/>
          <w:i/>
          <w:iCs/>
        </w:rPr>
        <w:t>,
2014-09-22,
paskelbta TAR 2014-09-23, i. k. 2014-12698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a52df00049611e79ba1ee3112ade9bc">
        <w:r w:rsidRPr="00532B9F">
          <w:rPr>
            <w:rFonts w:ascii="Times New Roman" w:eastAsia="MS Mincho" w:hAnsi="Times New Roman"/>
            <w:sz w:val="20"/>
            <w:i/>
            <w:iCs/>
            <w:color w:val="0000FF" w:themeColor="hyperlink"/>
            <w:u w:val="single"/>
          </w:rPr>
          <w:t>V-150</w:t>
        </w:r>
      </w:fldSimple>
      <w:r>
        <w:rPr>
          <w:rFonts w:ascii="Times New Roman" w:eastAsia="MS Mincho" w:hAnsi="Times New Roman"/>
          <w:sz w:val="20"/>
          <w:i/>
          <w:iCs/>
        </w:rPr>
        <w:t>,
2017-03-08,
paskelbta TAR 2017-03-09, i. k. 2017-04059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409c7b022a511e88e8fef3b3f51dc2f">
        <w:r w:rsidRPr="00532B9F">
          <w:rPr>
            <w:rFonts w:ascii="Times New Roman" w:eastAsia="MS Mincho" w:hAnsi="Times New Roman"/>
            <w:sz w:val="20"/>
            <w:i/>
            <w:iCs/>
            <w:color w:val="0000FF" w:themeColor="hyperlink"/>
            <w:u w:val="single"/>
          </w:rPr>
          <w:t>V-235</w:t>
        </w:r>
      </w:fldSimple>
      <w:r>
        <w:rPr>
          <w:rFonts w:ascii="Times New Roman" w:eastAsia="MS Mincho" w:hAnsi="Times New Roman"/>
          <w:sz w:val="20"/>
          <w:i/>
          <w:iCs/>
        </w:rPr>
        <w:t>,
2018-03-08,
paskelbta TAR 2018-03-08, i. k. 2018-03680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c4752f0645c11eb9dc7b575f08e8bea">
        <w:r w:rsidRPr="00532B9F">
          <w:rPr>
            <w:rFonts w:ascii="Times New Roman" w:eastAsia="MS Mincho" w:hAnsi="Times New Roman"/>
            <w:sz w:val="20"/>
            <w:i/>
            <w:iCs/>
            <w:color w:val="0000FF" w:themeColor="hyperlink"/>
            <w:u w:val="single"/>
          </w:rPr>
          <w:t>V-170</w:t>
        </w:r>
      </w:fldSimple>
      <w:r>
        <w:rPr>
          <w:rFonts w:ascii="Times New Roman" w:eastAsia="MS Mincho" w:hAnsi="Times New Roman"/>
          <w:sz w:val="20"/>
          <w:i/>
          <w:iCs/>
        </w:rPr>
        <w:t>,
2021-02-01,
paskelbta TAR 2021-02-01, i. k. 2021-01792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8d4be6759311efabdbb4a1fc8b0b63">
        <w:r w:rsidRPr="00532B9F">
          <w:rPr>
            <w:rFonts w:ascii="Times New Roman" w:eastAsia="MS Mincho" w:hAnsi="Times New Roman"/>
            <w:sz w:val="20"/>
            <w:i/>
            <w:iCs/>
            <w:color w:val="0000FF" w:themeColor="hyperlink"/>
            <w:u w:val="single"/>
          </w:rPr>
          <w:t>V-1029</w:t>
        </w:r>
      </w:fldSimple>
      <w:r>
        <w:rPr>
          <w:rFonts w:ascii="Times New Roman" w:eastAsia="MS Mincho" w:hAnsi="Times New Roman"/>
          <w:sz w:val="20"/>
          <w:i/>
          <w:iCs/>
        </w:rPr>
        <w:t>,
2024-09-18,
paskelbta TAR 2024-09-18, i. k. 2024-16341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333fd0479e011f1b53dfa020e517810">
        <w:r w:rsidRPr="00532B9F">
          <w:rPr>
            <w:rFonts w:ascii="Times New Roman" w:eastAsia="MS Mincho" w:hAnsi="Times New Roman"/>
            <w:sz w:val="20"/>
            <w:i/>
            <w:iCs/>
            <w:color w:val="0000FF" w:themeColor="hyperlink"/>
            <w:u w:val="single"/>
          </w:rPr>
          <w:t>V-511</w:t>
        </w:r>
      </w:fldSimple>
      <w:r>
        <w:rPr>
          <w:rFonts w:ascii="Times New Roman" w:eastAsia="MS Mincho" w:hAnsi="Times New Roman"/>
          <w:sz w:val="20"/>
          <w:i/>
          <w:iCs/>
        </w:rPr>
        <w:t>,
2026-07-07,
paskelbta TAR 2026-07-07, i. k. 2026-11596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6d1fd50a1ff11f1958a9007e2f07e60">
        <w:r w:rsidRPr="00532B9F">
          <w:rPr>
            <w:rFonts w:ascii="Times New Roman" w:eastAsia="MS Mincho" w:hAnsi="Times New Roman"/>
            <w:sz w:val="20"/>
            <w:i/>
            <w:iCs/>
            <w:color w:val="0000FF" w:themeColor="hyperlink"/>
            <w:u w:val="single"/>
          </w:rPr>
          <w:t>V-616</w:t>
        </w:r>
      </w:fldSimple>
      <w:r>
        <w:rPr>
          <w:rFonts w:ascii="Times New Roman" w:eastAsia="MS Mincho" w:hAnsi="Times New Roman"/>
          <w:sz w:val="20"/>
          <w:i/>
          <w:iCs/>
        </w:rPr>
        <w:t>,
2026-08-27,
paskelbta TAR 2026-08-27, i. k. 2026-13217            </w:t>
      </w:r>
    </w:p>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2bdb7f6042fa11e4b328ee8724e3e13c">
        <w:r w:rsidRPr="00532B9F">
          <w:rPr>
            <w:rFonts w:ascii="Times New Roman" w:eastAsia="MS Mincho" w:hAnsi="Times New Roman"/>
            <w:sz w:val="20"/>
            <w:iCs/>
            <w:color w:val="0000FF" w:themeColor="hyperlink"/>
            <w:u w:val="single"/>
          </w:rPr>
          <w:t>V-827</w:t>
        </w:r>
      </w:fldSimple>
      <w:r>
        <w:rPr>
          <w:rFonts w:ascii="Times New Roman" w:eastAsia="MS Mincho" w:hAnsi="Times New Roman"/>
          <w:sz w:val="20"/>
          <w:iCs/>
        </w:rPr>
        <w:t>,
2014-09-22,
paskelbta TAR 2014-09-23, i. k. 2014-12698                </w:t>
      </w:r>
    </w:p>
    <w:p>
      <w:pPr>
        <w:jc w:val="both"/>
        <w:rPr>
          <w:rFonts w:ascii="Times New Roman" w:hAnsi="Times New Roman"/>
        </w:rPr>
      </w:pPr>
      <w:r>
        <w:rPr>
          <w:rFonts w:ascii="Times New Roman" w:hAnsi="Times New Roman"/>
          <w:sz w:val="20"/>
        </w:rPr>
        <w:t>Dėl švietimo ir mokslo ministro 2013 m. rugsėjo 11 d. įsakymo Nr. V-856 „Dėl Klasių paskirčių klasifikatoriaus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4a52df00049611e79ba1ee3112ade9bc">
        <w:r w:rsidRPr="00532B9F">
          <w:rPr>
            <w:rFonts w:ascii="Times New Roman" w:eastAsia="MS Mincho" w:hAnsi="Times New Roman"/>
            <w:sz w:val="20"/>
            <w:iCs/>
            <w:color w:val="0000FF" w:themeColor="hyperlink"/>
            <w:u w:val="single"/>
          </w:rPr>
          <w:t>V-150</w:t>
        </w:r>
      </w:fldSimple>
      <w:r>
        <w:rPr>
          <w:rFonts w:ascii="Times New Roman" w:eastAsia="MS Mincho" w:hAnsi="Times New Roman"/>
          <w:sz w:val="20"/>
          <w:iCs/>
        </w:rPr>
        <w:t>,
2017-03-08,
paskelbta TAR 2017-03-09, i. k. 2017-04059                </w:t>
      </w:r>
    </w:p>
    <w:p>
      <w:pPr>
        <w:jc w:val="both"/>
        <w:rPr>
          <w:rFonts w:ascii="Times New Roman" w:hAnsi="Times New Roman"/>
        </w:rPr>
      </w:pPr>
      <w:r>
        <w:rPr>
          <w:rFonts w:ascii="Times New Roman" w:hAnsi="Times New Roman"/>
          <w:sz w:val="20"/>
        </w:rPr>
        <w:t>Dėl švietimo ir mokslo ministro 2013 m. rugsėjo 11 d. įsakymo Nr. V-856 „Dėl Klasių paskirčių klasifikatoriaus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3.</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f409c7b022a511e88e8fef3b3f51dc2f">
        <w:r w:rsidRPr="00532B9F">
          <w:rPr>
            <w:rFonts w:ascii="Times New Roman" w:eastAsia="MS Mincho" w:hAnsi="Times New Roman"/>
            <w:sz w:val="20"/>
            <w:iCs/>
            <w:color w:val="0000FF" w:themeColor="hyperlink"/>
            <w:u w:val="single"/>
          </w:rPr>
          <w:t>V-235</w:t>
        </w:r>
      </w:fldSimple>
      <w:r>
        <w:rPr>
          <w:rFonts w:ascii="Times New Roman" w:eastAsia="MS Mincho" w:hAnsi="Times New Roman"/>
          <w:sz w:val="20"/>
          <w:iCs/>
        </w:rPr>
        <w:t>,
2018-03-08,
paskelbta TAR 2018-03-08, i. k. 2018-03680                </w:t>
      </w:r>
    </w:p>
    <w:p>
      <w:pPr>
        <w:jc w:val="both"/>
        <w:rPr>
          <w:rFonts w:ascii="Times New Roman" w:hAnsi="Times New Roman"/>
        </w:rPr>
      </w:pPr>
      <w:r>
        <w:rPr>
          <w:rFonts w:ascii="Times New Roman" w:hAnsi="Times New Roman"/>
          <w:sz w:val="20"/>
        </w:rPr>
        <w:t>Dėl švietimo ir mokslo ministro 2013 m. rugsėjo 11 d. įsakymo Nr. V-856 „Dėl Klasių paskirčių klasifikatoriaus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4.</w:t>
      </w:r>
    </w:p>
    <w:p>
      <w:pPr>
        <w:jc w:val="both"/>
        <w:rPr>
          <w:rFonts w:ascii="Times New Roman" w:hAnsi="Times New Roman"/>
        </w:rPr>
      </w:pPr>
      <w:r>
        <w:rPr>
          <w:rFonts w:ascii="Times New Roman" w:hAnsi="Times New Roman"/>
          <w:sz w:val="20"/>
        </w:rPr>
        <w:t>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7c4752f0645c11eb9dc7b575f08e8bea">
        <w:r w:rsidRPr="00532B9F">
          <w:rPr>
            <w:rFonts w:ascii="Times New Roman" w:eastAsia="MS Mincho" w:hAnsi="Times New Roman"/>
            <w:sz w:val="20"/>
            <w:iCs/>
            <w:color w:val="0000FF" w:themeColor="hyperlink"/>
            <w:u w:val="single"/>
          </w:rPr>
          <w:t>V-170</w:t>
        </w:r>
      </w:fldSimple>
      <w:r>
        <w:rPr>
          <w:rFonts w:ascii="Times New Roman" w:eastAsia="MS Mincho" w:hAnsi="Times New Roman"/>
          <w:sz w:val="20"/>
          <w:iCs/>
        </w:rPr>
        <w:t>,
2021-02-01,
paskelbta TAR 2021-02-01, i. k. 2021-01792                </w:t>
      </w:r>
    </w:p>
    <w:p>
      <w:pPr>
        <w:jc w:val="both"/>
        <w:rPr>
          <w:rFonts w:ascii="Times New Roman" w:hAnsi="Times New Roman"/>
        </w:rPr>
      </w:pPr>
      <w:r>
        <w:rPr>
          <w:rFonts w:ascii="Times New Roman" w:hAnsi="Times New Roman"/>
          <w:sz w:val="20"/>
        </w:rPr>
        <w:t>Dėl švietimo ir mokslo ministro 2013 m. rugsėjo 11 d. įsakymo Nr. V-856 „Dėl Klasių paskirčių klasifikatoriaus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5.</w:t>
      </w:r>
    </w:p>
    <w:p>
      <w:pPr>
        <w:jc w:val="both"/>
        <w:rPr>
          <w:rFonts w:ascii="Times New Roman" w:hAnsi="Times New Roman"/>
        </w:rPr>
      </w:pPr>
      <w:r>
        <w:rPr>
          <w:rFonts w:ascii="Times New Roman" w:hAnsi="Times New Roman"/>
          <w:sz w:val="20"/>
        </w:rPr>
        <w:t>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ec8d4be6759311efabdbb4a1fc8b0b63">
        <w:r w:rsidRPr="00532B9F">
          <w:rPr>
            <w:rFonts w:ascii="Times New Roman" w:eastAsia="MS Mincho" w:hAnsi="Times New Roman"/>
            <w:sz w:val="20"/>
            <w:iCs/>
            <w:color w:val="0000FF" w:themeColor="hyperlink"/>
            <w:u w:val="single"/>
          </w:rPr>
          <w:t>V-1029</w:t>
        </w:r>
      </w:fldSimple>
      <w:r>
        <w:rPr>
          <w:rFonts w:ascii="Times New Roman" w:eastAsia="MS Mincho" w:hAnsi="Times New Roman"/>
          <w:sz w:val="20"/>
          <w:iCs/>
        </w:rPr>
        <w:t>,
2024-09-18,
paskelbta TAR 2024-09-18, i. k. 2024-16341                </w:t>
      </w:r>
    </w:p>
    <w:p>
      <w:pPr>
        <w:jc w:val="both"/>
        <w:rPr>
          <w:rFonts w:ascii="Times New Roman" w:hAnsi="Times New Roman"/>
        </w:rPr>
      </w:pPr>
      <w:r>
        <w:rPr>
          <w:rFonts w:ascii="Times New Roman" w:hAnsi="Times New Roman"/>
          <w:sz w:val="20"/>
        </w:rPr>
        <w:t>Dėl švietimo, mokslo ir sporto ministro 2013 m. rugsėjo 11 d. įsakymo Nr. V-856 „Dėl Klasių paskirčių klasifikatoriaus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6.</w:t>
      </w:r>
    </w:p>
    <w:p>
      <w:pPr>
        <w:jc w:val="both"/>
        <w:rPr>
          <w:rFonts w:ascii="Times New Roman" w:hAnsi="Times New Roman"/>
        </w:rPr>
      </w:pPr>
      <w:r>
        <w:rPr>
          <w:rFonts w:ascii="Times New Roman" w:hAnsi="Times New Roman"/>
          <w:sz w:val="20"/>
        </w:rPr>
        <w:t>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b333fd0479e011f1b53dfa020e517810">
        <w:r w:rsidRPr="00532B9F">
          <w:rPr>
            <w:rFonts w:ascii="Times New Roman" w:eastAsia="MS Mincho" w:hAnsi="Times New Roman"/>
            <w:sz w:val="20"/>
            <w:iCs/>
            <w:color w:val="0000FF" w:themeColor="hyperlink"/>
            <w:u w:val="single"/>
          </w:rPr>
          <w:t>V-511</w:t>
        </w:r>
      </w:fldSimple>
      <w:r>
        <w:rPr>
          <w:rFonts w:ascii="Times New Roman" w:eastAsia="MS Mincho" w:hAnsi="Times New Roman"/>
          <w:sz w:val="20"/>
          <w:iCs/>
        </w:rPr>
        <w:t>,
2026-07-07,
paskelbta TAR 2026-07-07, i. k. 2026-11596                </w:t>
      </w:r>
    </w:p>
    <w:p>
      <w:pPr>
        <w:jc w:val="both"/>
        <w:rPr>
          <w:rFonts w:ascii="Times New Roman" w:hAnsi="Times New Roman"/>
        </w:rPr>
      </w:pPr>
      <w:r>
        <w:rPr>
          <w:rFonts w:ascii="Times New Roman" w:hAnsi="Times New Roman"/>
          <w:sz w:val="20"/>
        </w:rPr>
        <w:t>Dėl švietimo, mokslo ir sporto ministro 2013 m. rugsėjo 11 d. įsakymo Nr. V-856 „Dėl Klasių paskirčių klasifikatoriaus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7.</w:t>
      </w:r>
    </w:p>
    <w:p>
      <w:pPr>
        <w:jc w:val="both"/>
        <w:rPr>
          <w:rFonts w:ascii="Times New Roman" w:hAnsi="Times New Roman"/>
        </w:rPr>
      </w:pPr>
      <w:r>
        <w:rPr>
          <w:rFonts w:ascii="Times New Roman" w:hAnsi="Times New Roman"/>
          <w:sz w:val="20"/>
        </w:rPr>
        <w:t>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e6d1fd50a1ff11f1958a9007e2f07e60">
        <w:r w:rsidRPr="00532B9F">
          <w:rPr>
            <w:rFonts w:ascii="Times New Roman" w:eastAsia="MS Mincho" w:hAnsi="Times New Roman"/>
            <w:sz w:val="20"/>
            <w:iCs/>
            <w:color w:val="0000FF" w:themeColor="hyperlink"/>
            <w:u w:val="single"/>
          </w:rPr>
          <w:t>V-616</w:t>
        </w:r>
      </w:fldSimple>
      <w:r>
        <w:rPr>
          <w:rFonts w:ascii="Times New Roman" w:eastAsia="MS Mincho" w:hAnsi="Times New Roman"/>
          <w:sz w:val="20"/>
          <w:iCs/>
        </w:rPr>
        <w:t>,
2026-08-27,
paskelbta TAR 2026-08-27, i. k. 2026-13217                </w:t>
      </w:r>
    </w:p>
    <w:p>
      <w:pPr>
        <w:jc w:val="both"/>
        <w:rPr>
          <w:rFonts w:ascii="Times New Roman" w:hAnsi="Times New Roman"/>
        </w:rPr>
      </w:pPr>
      <w:r>
        <w:rPr>
          <w:rFonts w:ascii="Times New Roman" w:hAnsi="Times New Roman"/>
          <w:sz w:val="20"/>
        </w:rPr>
        <w:t>Dėl švietimo, mokslo ir sporto ministro 2013 m. rugsėjo 11 d. įsakymo Nr. V-856 „Dėl Klasių paskirčių klasifikatoriaus patvirtinimo“ pakeitimo</w:t>
      </w:r>
    </w:p>
    <w:p>
      <w:pPr>
        <w:jc w:val="both"/>
        <w:rPr>
          <w:rFonts w:ascii="Times New Roman" w:hAnsi="Times New Roman"/>
          <w:sz w:val="20"/>
        </w:rPr>
      </w:pPr>
    </w:p>
    <w:p>
      <w:pPr>
        <w:widowControl w:val="0"/>
        <w:rPr>
          <w:rFonts w:ascii="Times New Roman" w:hAnsi="Times New Roman"/>
          <w:snapToGrid w:val="0"/>
        </w:rPr>
      </w:pPr>
    </w:p>
    <w:sectPr>
      <w:pgSz w:w="11907" w:h="16840" w:code="9"/>
      <w:pgMar w:top="1134" w:right="1134" w:bottom="1134" w:left="1701" w:header="567" w:footer="284" w:gutter="0"/>
      <w:pgNumType w:start="1"/>
      <w:cols w:space="1296"/>
      <w:titlePg/>
      <w:docGrid w:linePitch="360"/>
    </w:sectPr>
  </w:body>
</w:document>
</file>

<file path=word/endnotes.xml><?xml version="1.0" encoding="utf-8"?>
<w:end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endnote w:type="separator" w:id="-1">
    <w:p>
      <w:r>
        <w:separator/>
      </w:r>
    </w:p>
  </w:endnote>
  <w:endnote w:type="continuationSeparator" w:id="0">
    <w:p>
      <w:r>
        <w:continuationSeparator/>
      </w:r>
    </w:p>
  </w:endnote>
</w:endnotes>
</file>

<file path=word/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Porat"/>
    </w:pPr>
  </w:p>
</w:ftr>
</file>

<file path=word/footer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Porat"/>
    </w:pPr>
  </w:p>
</w:ftr>
</file>

<file path=word/footer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Porat"/>
    </w:pPr>
  </w:p>
</w:ftr>
</file>

<file path=word/footer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Porat"/>
    </w:pPr>
  </w:p>
</w:ftr>
</file>

<file path=word/footer1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Porat"/>
    </w:pPr>
  </w:p>
</w:ftr>
</file>

<file path=word/footer1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Porat"/>
    </w:pPr>
  </w:p>
</w:ftr>
</file>

<file path=word/footer1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Porat"/>
    </w:pPr>
  </w:p>
</w:ftr>
</file>

<file path=word/footer1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Porat"/>
    </w:pPr>
  </w:p>
</w:ftr>
</file>

<file path=word/footer1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Porat"/>
    </w:pPr>
  </w:p>
</w:ftr>
</file>

<file path=word/footnotes.xml><?xml version="1.0" encoding="utf-8"?>
<w:foot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Antrats"/>
    </w:pPr>
  </w:p>
</w:hdr>
</file>

<file path=word/header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Antrats"/>
      <w:jc w:val="center"/>
    </w:pPr>
    <w:r>
      <w:fldChar w:fldCharType="begin"/>
    </w:r>
    <w:r>
      <w:instrText>PAGE   \* MERGEFORMAT</w:instrText>
    </w:r>
    <w:r>
      <w:fldChar w:fldCharType="separate"/>
    </w:r>
    <w:r>
      <w:t>11</w:t>
    </w:r>
    <w:r>
      <w:fldChar w:fldCharType="end"/>
    </w:r>
  </w:p>
  <w:p>
    <w:pPr>
      <w:pStyle w:val="Antrats"/>
    </w:pPr>
  </w:p>
</w:hdr>
</file>

<file path=word/header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Antrats"/>
    </w:pPr>
  </w:p>
</w:hdr>
</file>

<file path=word/header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7</w:t>
    </w:r>
    <w:r>
      <w:fldChar w:fldCharType="end"/>
    </w:r>
  </w:p>
  <w:p>
    <w:pPr>
      <w:pStyle w:val="Antrats"/>
    </w:pPr>
  </w:p>
</w:hdr>
</file>

<file path=word/header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12</w:t>
    </w:r>
    <w:r>
      <w:fldChar w:fldCharType="end"/>
    </w:r>
  </w:p>
  <w:p>
    <w:pPr>
      <w:pStyle w:val="Antrats"/>
    </w:pPr>
  </w:p>
</w:hdr>
</file>

<file path=word/header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11</w:t>
    </w:r>
    <w:r>
      <w:fldChar w:fldCharType="end"/>
    </w:r>
  </w:p>
  <w:p>
    <w:pPr>
      <w:pStyle w:val="Antrats"/>
    </w:pPr>
  </w:p>
</w:hdr>
</file>

<file path=word/header1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1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Antrats"/>
    </w:pPr>
  </w:p>
</w:hdr>
</file>

<file path=word/header1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Antrats"/>
      <w:jc w:val="center"/>
    </w:pPr>
    <w:r>
      <w:fldChar w:fldCharType="begin"/>
    </w:r>
    <w:r>
      <w:instrText>PAGE   \* MERGEFORMAT</w:instrText>
    </w:r>
    <w:r>
      <w:fldChar w:fldCharType="separate"/>
    </w:r>
    <w:r>
      <w:t>11</w:t>
    </w:r>
    <w:r>
      <w:fldChar w:fldCharType="end"/>
    </w:r>
  </w:p>
  <w:p>
    <w:pPr>
      <w:pStyle w:val="Antrats"/>
    </w:pPr>
  </w:p>
</w:hdr>
</file>

<file path=word/header1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Antrats"/>
    </w:pPr>
  </w:p>
</w:hdr>
</file>

<file path=word/header1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Antrats"/>
    </w:pPr>
  </w:p>
</w:hdr>
</file>

<file path=word/header1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Antrats"/>
      <w:jc w:val="center"/>
    </w:pPr>
    <w:r>
      <w:fldChar w:fldCharType="begin"/>
    </w:r>
    <w:r>
      <w:instrText>PAGE   \* MERGEFORMAT</w:instrText>
    </w:r>
    <w:r>
      <w:fldChar w:fldCharType="separate"/>
    </w:r>
    <w:r>
      <w:t>11</w:t>
    </w:r>
    <w:r>
      <w:fldChar w:fldCharType="end"/>
    </w:r>
  </w:p>
  <w:p>
    <w:pPr>
      <w:pStyle w:val="Antrats"/>
    </w:pPr>
  </w:p>
</w:hdr>
</file>

<file path=word/header1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p14">
  <w:p>
    <w:pPr>
      <w:pStyle w:val="Antrats"/>
    </w:pPr>
  </w:p>
</w:hdr>
</file>

<file path=word/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zoom w:val="bestFit" w:percent="75"/>
  <w:defaultTabStop w:val="1296"/>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2639"/>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7AD1"/>
  <w15:docId w15:val="{449BABBB-6211-4B61-9770-60447DBE73FD}"/>
</w:settings>
</file>

<file path=word/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s>
</file>

<file path=word/stylesWithEffect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s>
</file>

<file path=word/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16cid w16 w16cex w16sdtdh w16sdtfl w16du">
  <w:optimizeForBrowser/>
</w:webSettings>
</file>

<file path=word/_rels/document.xml.rels><?xml version="1.0" encoding="UTF-8"?>

<Relationships xmlns="http://schemas.openxmlformats.org/package/2006/relationships">
  <Relationship Id="rId1" Type="http://schemas.openxmlformats.org/officeDocument/2006/relationships/endnotes" Target="endnotes.xml"/>
  <Relationship Id="rId10" Type="http://schemas.openxmlformats.org/officeDocument/2006/relationships/hyperlink" TargetMode="External" Target="https://www.e-tar.lt/portal/lt/legalAct/TAR.43F5F6A721E3"/>
  <Relationship Id="rId11" Type="http://schemas.openxmlformats.org/officeDocument/2006/relationships/hyperlink" TargetMode="External" Target="https://www.e-tar.lt/portal/lt/legalAct/TAR.471E5D64413E"/>
  <Relationship Id="rId12" Type="http://schemas.openxmlformats.org/officeDocument/2006/relationships/hyperlink" TargetMode="External" Target="https://www.e-tar.lt/portal/lt/legalAct/TAR.5DF617795F5A"/>
  <Relationship Id="rId13" Type="http://schemas.openxmlformats.org/officeDocument/2006/relationships/hyperlink" TargetMode="External" Target="https://www.e-tar.lt/portal/lt/legalAct/TAR.650AA9304063"/>
  <Relationship Id="rId14" Type="http://schemas.openxmlformats.org/officeDocument/2006/relationships/hyperlink" TargetMode="External" Target="https://www.e-tar.lt/portal/lt/legalAct/TAR.7B6C3D6A5B42"/>
  <Relationship Id="rId15" Type="http://schemas.openxmlformats.org/officeDocument/2006/relationships/hyperlink" TargetMode="External" Target="https://www.e-tar.lt/portal/lt/legalAct/TAR.875A8BBBBC2D"/>
  <Relationship Id="rId16" Type="http://schemas.openxmlformats.org/officeDocument/2006/relationships/hyperlink" TargetMode="External" Target="https://www.e-tar.lt/portal/lt/legalAct/TAR.ED784C2D3261"/>
  <Relationship Id="rId17" Type="http://schemas.openxmlformats.org/officeDocument/2006/relationships/settings" Target="settings.xml"/>
  <Relationship Id="rId18" Type="http://schemas.openxmlformats.org/officeDocument/2006/relationships/styles" Target="styles.xml"/>
  <Relationship Id="rId19" Type="http://schemas.openxmlformats.org/officeDocument/2006/relationships/theme" Target="theme/theme1.xml"/>
  <Relationship Id="rId2" Type="http://schemas.openxmlformats.org/officeDocument/2006/relationships/fontTable" Target="fontTable.xml"/>
  <Relationship Id="rId20" Type="http://schemas.openxmlformats.org/officeDocument/2006/relationships/webSettings" Target="webSettings.xml"/>
  <Relationship Id="rId21" Type="http://schemas.openxmlformats.org/officeDocument/2006/relationships/header" Target="header16.xml"/>
  <Relationship Id="rId22" Type="http://schemas.openxmlformats.org/officeDocument/2006/relationships/header" Target="header17.xml"/>
  <Relationship Id="rId23" Type="http://schemas.openxmlformats.org/officeDocument/2006/relationships/footer" Target="footer16.xml"/>
  <Relationship Id="rId24" Type="http://schemas.openxmlformats.org/officeDocument/2006/relationships/footer" Target="footer17.xml"/>
  <Relationship Id="rId25" Type="http://schemas.openxmlformats.org/officeDocument/2006/relationships/header" Target="header18.xml"/>
  <Relationship Id="rId26" Type="http://schemas.openxmlformats.org/officeDocument/2006/relationships/footer" Target="footer18.xml"/>
  <Relationship Id="rId27" Type="http://schemas.openxmlformats.org/officeDocument/2006/relationships/hyperlink" TargetMode="External" Target="https://www.e-tar.lt/portal/lt/legalAct/TAR.471E5D64413E"/>
  <Relationship Id="rId28" Type="http://schemas.openxmlformats.org/officeDocument/2006/relationships/hyperlink" TargetMode="External" Target="https://www.e-tar.lt/portal/lt/legalAct/TAR.875A8BBBBC2D"/>
  <Relationship Id="rId29" Type="http://schemas.openxmlformats.org/officeDocument/2006/relationships/hyperlink" TargetMode="External" Target="https://www.e-tar.lt/portal/lt/legalAct/TAR.ED784C2D3261"/>
  <Relationship Id="rId3" Type="http://schemas.openxmlformats.org/officeDocument/2006/relationships/footer" Target="footer1.xml"/>
  <Relationship Id="rId30" Type="http://schemas.openxmlformats.org/officeDocument/2006/relationships/hyperlink" TargetMode="External" Target="https://www.e-tar.lt/portal/lt/legalAct/TAR.43F5F6A721E3"/>
  <Relationship Id="rId31" Type="http://schemas.openxmlformats.org/officeDocument/2006/relationships/hyperlink" TargetMode="External" Target="https://www.e-tar.lt/portal/lt/legalAct/TAR.5DF617795F5A"/>
  <Relationship Id="rId32" Type="http://schemas.openxmlformats.org/officeDocument/2006/relationships/hyperlink" TargetMode="External" Target="https://www.e-tar.lt/portal/lt/legalAct/TAR.650AA9304063"/>
  <Relationship Id="rId33" Type="http://schemas.openxmlformats.org/officeDocument/2006/relationships/hyperlink" TargetMode="External" Target="https://www.e-tar.lt/portal/lt/legalAct/TAR.7B6C3D6A5B42"/>
  <Relationship Id="rId4" Type="http://schemas.openxmlformats.org/officeDocument/2006/relationships/footer" Target="footer2.xml"/>
  <Relationship Id="rId5" Type="http://schemas.openxmlformats.org/officeDocument/2006/relationships/footer" Target="footer3.xml"/>
  <Relationship Id="rId6" Type="http://schemas.openxmlformats.org/officeDocument/2006/relationships/footnotes" Target="footnotes.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emplate>Normal</Template>
  <TotalTime>29</TotalTime>
  <Pages>25</Pages>
  <Words>33568</Words>
  <Characters>19135</Characters>
  <Application>Microsoft Office Word</Application>
  <DocSecurity>0</DocSecurity>
  <Lines>159</Lines>
  <Paragraphs>105</Paragraphs>
  <ScaleCrop>false</ScaleCrop>
  <Company/>
  <LinksUpToDate>false</LinksUpToDate>
  <CharactersWithSpaces>52598</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2015-05-25T07:35:00Z</dcterms:created>
  <dc:creator>Rima</dc:creator>
  <lastModifiedBy>ŠAULYTĖ SKAIRIENĖ Dalia</lastModifiedBy>
  <dcterms:modified xsi:type="dcterms:W3CDTF">2026-08-31T07:47:00Z</dcterms:modified>
  <revision>14</revision>
  <dc:title>LIETUVOS RESPUBLIKOS ŠVIETIMO IR MOKSLO MINISTRO</dc:title>
</coreProperties>
</file>