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D341" w14:textId="77777777" w:rsidR="00D64D28" w:rsidRPr="00D64D28" w:rsidRDefault="00D64D28" w:rsidP="00D64D28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  <w:r w:rsidRPr="00D64D28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drawing>
          <wp:inline distT="0" distB="0" distL="0" distR="0" wp14:anchorId="3588DF3A" wp14:editId="53A0A1F6">
            <wp:extent cx="542925" cy="552450"/>
            <wp:effectExtent l="0" t="0" r="9525" b="0"/>
            <wp:docPr id="1" name="Paveikslėlis 1" descr="Paveikslėlis, kuriame yra eskizas, piešimas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58E7" w14:textId="77777777" w:rsidR="00D64D28" w:rsidRPr="00D64D28" w:rsidRDefault="00D64D28" w:rsidP="00D64D28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44016C29" w14:textId="77777777" w:rsidR="00D64D28" w:rsidRPr="00D64D28" w:rsidRDefault="00D64D28" w:rsidP="00D64D28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64D28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NACIONALINĖS ŠVIETIMO AGENTŪROS</w:t>
      </w:r>
    </w:p>
    <w:p w14:paraId="059F3D5C" w14:textId="77777777" w:rsidR="00D64D28" w:rsidRPr="00D64D28" w:rsidRDefault="00D64D28" w:rsidP="00D64D28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64D28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DIREKTORIUS</w:t>
      </w:r>
    </w:p>
    <w:p w14:paraId="4901AB71" w14:textId="77777777" w:rsidR="00D64D28" w:rsidRPr="00D64D28" w:rsidRDefault="00D64D28" w:rsidP="00D64D28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01AF0A8" w14:textId="77777777" w:rsidR="00D64D28" w:rsidRPr="00D64D28" w:rsidRDefault="00D64D28" w:rsidP="00D64D28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48F385F" w14:textId="77777777" w:rsidR="00D64D28" w:rsidRPr="00D64D28" w:rsidRDefault="00D64D28" w:rsidP="00D64D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4D28">
        <w:rPr>
          <w:rFonts w:ascii="Times New Roman" w:eastAsia="Times New Roman" w:hAnsi="Times New Roman" w:cs="Times New Roman"/>
          <w:b/>
          <w:kern w:val="0"/>
          <w14:ligatures w14:val="none"/>
        </w:rPr>
        <w:t>ĮSAKYMAS</w:t>
      </w:r>
    </w:p>
    <w:p w14:paraId="0572581A" w14:textId="77777777" w:rsidR="00D64D28" w:rsidRPr="00D64D28" w:rsidRDefault="00D64D28" w:rsidP="00D64D28">
      <w:pPr>
        <w:suppressAutoHyphens/>
        <w:overflowPunct w:val="0"/>
        <w:autoSpaceDN w:val="0"/>
        <w:spacing w:after="0" w:line="259" w:lineRule="auto"/>
        <w:contextualSpacing/>
        <w:jc w:val="center"/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</w:pPr>
      <w:r w:rsidRPr="00D64D28"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  <w:t>DĖL NACIONALINĖS ŠVIETIMO AGENTŪROS DIREKTORIAUS 2023 M. LAPKRIČIO 16 D. ĮSAKYMO NR. VK-773 „DĖL DALYKŲ KLASIFIKATORIAUS PATVIRTINIMO“ PAKEITIMO</w:t>
      </w:r>
    </w:p>
    <w:p w14:paraId="0EAA8AC8" w14:textId="77777777" w:rsidR="00D64D28" w:rsidRPr="00D64D28" w:rsidRDefault="00D64D28" w:rsidP="00D64D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F9ACA03" w14:textId="77777777" w:rsidR="00D64D28" w:rsidRPr="00D64D28" w:rsidRDefault="00D64D28" w:rsidP="00D64D2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044A723" w14:textId="77777777" w:rsidR="00D64D28" w:rsidRPr="00D64D28" w:rsidRDefault="00D64D28" w:rsidP="00D64D28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4D28">
        <w:rPr>
          <w:rFonts w:ascii="Times New Roman" w:eastAsia="Times New Roman" w:hAnsi="Times New Roman" w:cs="Times New Roman"/>
          <w:kern w:val="0"/>
          <w14:ligatures w14:val="none"/>
        </w:rPr>
        <w:t xml:space="preserve">Nr. </w:t>
      </w:r>
    </w:p>
    <w:p w14:paraId="54CCBF95" w14:textId="77777777" w:rsidR="00D64D28" w:rsidRPr="00D64D28" w:rsidRDefault="00D64D28" w:rsidP="00D64D28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Vilnius</w:t>
      </w:r>
    </w:p>
    <w:p w14:paraId="4DDE971D" w14:textId="77777777" w:rsidR="00D64D28" w:rsidRPr="00D64D28" w:rsidRDefault="00D64D28" w:rsidP="00D64D28">
      <w:pPr>
        <w:suppressAutoHyphens/>
        <w:autoSpaceDN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F580129" w14:textId="244E3C97" w:rsidR="00D64D28" w:rsidRPr="00D64D28" w:rsidRDefault="00D64D28" w:rsidP="00D64D28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64D28">
        <w:rPr>
          <w:rFonts w:ascii="Times New Roman" w:eastAsia="Times New Roman" w:hAnsi="Times New Roman" w:cs="Times New Roman"/>
          <w:spacing w:val="60"/>
          <w:kern w:val="0"/>
          <w:shd w:val="clear" w:color="auto" w:fill="FFFFFF"/>
          <w14:ligatures w14:val="none"/>
        </w:rPr>
        <w:t>Pakeičiu</w:t>
      </w:r>
      <w:r w:rsidRPr="00D64D28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Nacionalinės švietimo agentūros direktoriaus 2023 m. lapkričio 16 d. įsakymu Nr. VK-773 „Dėl dalykų klasifikatoriaus patvirtinimo“ patvirtintą klasifikatorių ir papildau jį 5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1</w:t>
      </w:r>
      <w:r w:rsidRPr="00D64D28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 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85"/>
        <w:gridCol w:w="890"/>
        <w:gridCol w:w="1822"/>
        <w:gridCol w:w="851"/>
        <w:gridCol w:w="870"/>
        <w:gridCol w:w="4510"/>
      </w:tblGrid>
      <w:tr w:rsidR="00D64D28" w:rsidRPr="00D64D28" w14:paraId="35B50ECC" w14:textId="77777777" w:rsidTr="00655801">
        <w:tc>
          <w:tcPr>
            <w:tcW w:w="685" w:type="dxa"/>
          </w:tcPr>
          <w:p w14:paraId="1E3162A1" w14:textId="421F5500" w:rsidR="00D64D28" w:rsidRPr="00D64D28" w:rsidDel="0097694D" w:rsidRDefault="00D64D28" w:rsidP="00D64D28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D64D28">
              <w:t>„5</w:t>
            </w:r>
            <w:r>
              <w:t>1</w:t>
            </w:r>
          </w:p>
        </w:tc>
        <w:tc>
          <w:tcPr>
            <w:tcW w:w="890" w:type="dxa"/>
          </w:tcPr>
          <w:p w14:paraId="67A18125" w14:textId="4F79AF7E" w:rsidR="00D64D28" w:rsidRPr="00D64D28" w:rsidRDefault="00D64D28" w:rsidP="00D64D28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2</w:t>
            </w:r>
            <w:r w:rsidRPr="00D64D28">
              <w:t>0001</w:t>
            </w:r>
          </w:p>
        </w:tc>
        <w:tc>
          <w:tcPr>
            <w:tcW w:w="1822" w:type="dxa"/>
          </w:tcPr>
          <w:p w14:paraId="39E44D4C" w14:textId="24F54548" w:rsidR="00D64D28" w:rsidRPr="00D64D28" w:rsidRDefault="00D64D28" w:rsidP="00D64D28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rPr>
                <w:shd w:val="clear" w:color="auto" w:fill="FFFFFF"/>
              </w:rPr>
              <w:t>Socialinių įgūdžių ugdymas</w:t>
            </w:r>
          </w:p>
        </w:tc>
        <w:tc>
          <w:tcPr>
            <w:tcW w:w="851" w:type="dxa"/>
          </w:tcPr>
          <w:p w14:paraId="067622D2" w14:textId="69885494" w:rsidR="00D64D28" w:rsidRPr="00D64D28" w:rsidRDefault="00D64D28" w:rsidP="00D64D28">
            <w:pPr>
              <w:tabs>
                <w:tab w:val="left" w:pos="993"/>
              </w:tabs>
              <w:contextualSpacing/>
              <w:jc w:val="both"/>
            </w:pPr>
            <w:r>
              <w:rPr>
                <w:shd w:val="clear" w:color="auto" w:fill="FFFFFF"/>
              </w:rPr>
              <w:t>2</w:t>
            </w:r>
            <w:r w:rsidRPr="00D64D28">
              <w:rPr>
                <w:shd w:val="clear" w:color="auto" w:fill="FFFFFF"/>
              </w:rPr>
              <w:t>0</w:t>
            </w:r>
          </w:p>
        </w:tc>
        <w:tc>
          <w:tcPr>
            <w:tcW w:w="870" w:type="dxa"/>
          </w:tcPr>
          <w:p w14:paraId="5E0CBA35" w14:textId="77777777" w:rsidR="00D64D28" w:rsidRDefault="00D64D28" w:rsidP="00D64D28">
            <w:pPr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5408CC">
              <w:rPr>
                <w:shd w:val="clear" w:color="auto" w:fill="FFFFFF"/>
              </w:rPr>
              <w:t>5-18</w:t>
            </w:r>
          </w:p>
          <w:p w14:paraId="7D228D54" w14:textId="54D7600C" w:rsidR="005408CC" w:rsidRPr="00D64D28" w:rsidRDefault="005408CC" w:rsidP="00D64D28">
            <w:pPr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10" w:type="dxa"/>
          </w:tcPr>
          <w:p w14:paraId="3194D4D0" w14:textId="149466AA" w:rsidR="00D64D28" w:rsidRPr="00D64D28" w:rsidRDefault="00D64D28" w:rsidP="00D64D28">
            <w:pPr>
              <w:tabs>
                <w:tab w:val="left" w:pos="993"/>
              </w:tabs>
              <w:contextualSpacing/>
              <w:jc w:val="both"/>
            </w:pPr>
            <w:proofErr w:type="spellStart"/>
            <w:r>
              <w:rPr>
                <w:shd w:val="clear" w:color="auto" w:fill="FFFFFF"/>
                <w:lang w:val="en-US"/>
              </w:rPr>
              <w:t>Socialinių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įgūdžių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ugdymo</w:t>
            </w:r>
            <w:r w:rsidRPr="00A32197">
              <w:rPr>
                <w:shd w:val="clear" w:color="auto" w:fill="FFFFFF"/>
                <w:lang w:val="en-US"/>
              </w:rPr>
              <w:t xml:space="preserve">  </w:t>
            </w:r>
            <w:proofErr w:type="spellStart"/>
            <w:r w:rsidRPr="00A32197">
              <w:rPr>
                <w:shd w:val="clear" w:color="auto" w:fill="FFFFFF"/>
                <w:lang w:val="en-US"/>
              </w:rPr>
              <w:t>dalykas</w:t>
            </w:r>
            <w:proofErr w:type="spellEnd"/>
            <w:r w:rsidRPr="00D64D28">
              <w:rPr>
                <w:shd w:val="clear" w:color="auto" w:fill="FFFFFF"/>
              </w:rPr>
              <w:t>.“</w:t>
            </w:r>
          </w:p>
        </w:tc>
      </w:tr>
    </w:tbl>
    <w:p w14:paraId="7E057CC6" w14:textId="77777777" w:rsidR="00D64D28" w:rsidRPr="00D64D28" w:rsidRDefault="00D64D28" w:rsidP="00D64D28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90C1E0" w14:textId="77777777" w:rsidR="00D64D28" w:rsidRPr="00D64D28" w:rsidRDefault="00D64D28" w:rsidP="00D64D28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6A7149" w14:textId="414F6224" w:rsidR="00D64D28" w:rsidRPr="00D64D28" w:rsidRDefault="00D64D28" w:rsidP="00D64D28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Direktorius</w:t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                                 Simonas 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Šabanovas</w:t>
      </w:r>
      <w:proofErr w:type="spellEnd"/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4D28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C4E9EFC" w14:textId="77777777" w:rsidR="00A676E0" w:rsidRDefault="00A676E0"/>
    <w:sectPr w:rsidR="00A676E0" w:rsidSect="00D64D28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FC49" w14:textId="77777777" w:rsidR="008269AE" w:rsidRDefault="008269AE">
      <w:pPr>
        <w:spacing w:after="0" w:line="240" w:lineRule="auto"/>
      </w:pPr>
      <w:r>
        <w:separator/>
      </w:r>
    </w:p>
  </w:endnote>
  <w:endnote w:type="continuationSeparator" w:id="0">
    <w:p w14:paraId="4A900C17" w14:textId="77777777" w:rsidR="008269AE" w:rsidRDefault="0082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565A" w14:textId="77777777" w:rsidR="00D64D28" w:rsidRDefault="00D64D2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B366" w14:textId="77777777" w:rsidR="008269AE" w:rsidRDefault="008269AE">
      <w:pPr>
        <w:spacing w:after="0" w:line="240" w:lineRule="auto"/>
      </w:pPr>
      <w:r>
        <w:separator/>
      </w:r>
    </w:p>
  </w:footnote>
  <w:footnote w:type="continuationSeparator" w:id="0">
    <w:p w14:paraId="4D1D727C" w14:textId="77777777" w:rsidR="008269AE" w:rsidRDefault="0082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EA1" w14:textId="77777777" w:rsidR="00D64D28" w:rsidRDefault="00D64D28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753A35AF" w14:textId="77777777" w:rsidR="00D64D28" w:rsidRDefault="00D64D2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28"/>
    <w:rsid w:val="000A3F1A"/>
    <w:rsid w:val="00306E2C"/>
    <w:rsid w:val="005408CC"/>
    <w:rsid w:val="007100F9"/>
    <w:rsid w:val="00781B41"/>
    <w:rsid w:val="007D01D3"/>
    <w:rsid w:val="008269AE"/>
    <w:rsid w:val="00A676E0"/>
    <w:rsid w:val="00B7231B"/>
    <w:rsid w:val="00D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9525"/>
  <w15:chartTrackingRefBased/>
  <w15:docId w15:val="{8E95D34F-EFA5-4309-98BE-BFF6AAE0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4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4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4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4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4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4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4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4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4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4D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4D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4D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4D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4D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4D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4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4D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4D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4D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4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4D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4D2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D64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64D28"/>
  </w:style>
  <w:style w:type="paragraph" w:styleId="Antrats">
    <w:name w:val="header"/>
    <w:basedOn w:val="prastasis"/>
    <w:link w:val="AntratsDiagrama"/>
    <w:uiPriority w:val="99"/>
    <w:semiHidden/>
    <w:unhideWhenUsed/>
    <w:rsid w:val="00D64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64D28"/>
  </w:style>
  <w:style w:type="table" w:styleId="Lentelstinklelis">
    <w:name w:val="Table Grid"/>
    <w:basedOn w:val="prastojilentel"/>
    <w:uiPriority w:val="39"/>
    <w:rsid w:val="00D64D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3</cp:revision>
  <dcterms:created xsi:type="dcterms:W3CDTF">2025-09-19T07:39:00Z</dcterms:created>
  <dcterms:modified xsi:type="dcterms:W3CDTF">2025-12-12T08:51:00Z</dcterms:modified>
</cp:coreProperties>
</file>